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7C" w:rsidRPr="00FB7991" w:rsidRDefault="003C567C" w:rsidP="003209A5">
      <w:pPr>
        <w:spacing w:line="276" w:lineRule="auto"/>
        <w:jc w:val="center"/>
        <w:rPr>
          <w:rFonts w:ascii="Arial" w:hAnsi="Arial" w:cs="Arial"/>
          <w:b/>
          <w:i/>
          <w:sz w:val="24"/>
          <w:szCs w:val="24"/>
        </w:rPr>
      </w:pPr>
      <w:r w:rsidRPr="00FB7991">
        <w:rPr>
          <w:rFonts w:ascii="Arial" w:hAnsi="Arial" w:cs="Arial"/>
          <w:b/>
          <w:i/>
          <w:sz w:val="24"/>
          <w:szCs w:val="24"/>
        </w:rPr>
        <w:t>“La Tutoría Universitaria como Estrategia de Afiliación Institucional y Cognitiva para los estudiantes que cursan el primer año de la Carrera de Contador Público de la Universidad Nacional de La Matanza”.</w:t>
      </w:r>
    </w:p>
    <w:p w:rsidR="001809E1" w:rsidRPr="007A4E45" w:rsidRDefault="001809E1" w:rsidP="001809E1">
      <w:pPr>
        <w:pStyle w:val="Default"/>
        <w:jc w:val="center"/>
        <w:rPr>
          <w:rFonts w:ascii="Arial" w:hAnsi="Arial" w:cs="Arial"/>
          <w:b/>
          <w:i/>
        </w:rPr>
      </w:pPr>
    </w:p>
    <w:p w:rsidR="003C567C" w:rsidRPr="007401F9" w:rsidRDefault="003C567C" w:rsidP="003C567C">
      <w:pPr>
        <w:numPr>
          <w:ilvl w:val="12"/>
          <w:numId w:val="0"/>
        </w:numPr>
        <w:contextualSpacing/>
        <w:jc w:val="center"/>
        <w:rPr>
          <w:rFonts w:ascii="Arial" w:hAnsi="Arial" w:cs="Arial"/>
          <w:sz w:val="24"/>
          <w:szCs w:val="24"/>
        </w:rPr>
      </w:pPr>
      <w:r>
        <w:rPr>
          <w:rFonts w:ascii="Arial" w:hAnsi="Arial" w:cs="Arial"/>
          <w:sz w:val="24"/>
          <w:szCs w:val="24"/>
        </w:rPr>
        <w:t xml:space="preserve">Directora: Elba Lucía Robustelli </w:t>
      </w:r>
      <w:r w:rsidRPr="007401F9">
        <w:rPr>
          <w:rFonts w:ascii="Arial" w:hAnsi="Arial" w:cs="Arial"/>
          <w:sz w:val="24"/>
          <w:szCs w:val="24"/>
        </w:rPr>
        <w:t xml:space="preserve"> </w:t>
      </w:r>
    </w:p>
    <w:p w:rsidR="001809E1" w:rsidRPr="00D064C6" w:rsidRDefault="001809E1" w:rsidP="003C567C">
      <w:pPr>
        <w:pStyle w:val="Default"/>
        <w:jc w:val="center"/>
        <w:rPr>
          <w:rFonts w:ascii="Arial" w:hAnsi="Arial" w:cs="Arial"/>
          <w:b/>
          <w:color w:val="auto"/>
          <w:sz w:val="22"/>
          <w:szCs w:val="22"/>
        </w:rPr>
      </w:pPr>
    </w:p>
    <w:p w:rsidR="001809E1" w:rsidRPr="007A4E45" w:rsidRDefault="003C567C" w:rsidP="001809E1">
      <w:pPr>
        <w:pStyle w:val="Default"/>
        <w:rPr>
          <w:rFonts w:ascii="Arial" w:hAnsi="Arial" w:cs="Arial"/>
          <w:b/>
          <w:color w:val="auto"/>
        </w:rPr>
      </w:pPr>
      <w:r>
        <w:rPr>
          <w:rFonts w:ascii="Arial" w:hAnsi="Arial" w:cs="Arial"/>
          <w:b/>
          <w:color w:val="auto"/>
        </w:rPr>
        <w:t>Investigadores</w:t>
      </w:r>
      <w:r w:rsidR="001809E1" w:rsidRPr="007A4E45">
        <w:rPr>
          <w:rFonts w:ascii="Arial" w:hAnsi="Arial" w:cs="Arial"/>
          <w:b/>
          <w:color w:val="auto"/>
        </w:rPr>
        <w:t>:</w:t>
      </w:r>
    </w:p>
    <w:p w:rsidR="001809E1" w:rsidRPr="007A4E45" w:rsidRDefault="001809E1" w:rsidP="001809E1">
      <w:pPr>
        <w:pStyle w:val="Default"/>
        <w:rPr>
          <w:rFonts w:ascii="Arial" w:hAnsi="Arial" w:cs="Arial"/>
          <w:color w:val="auto"/>
        </w:rPr>
      </w:pPr>
    </w:p>
    <w:p w:rsidR="001809E1" w:rsidRPr="007A4E45" w:rsidRDefault="001809E1" w:rsidP="0052787A">
      <w:pPr>
        <w:pStyle w:val="Default"/>
        <w:spacing w:line="360" w:lineRule="auto"/>
        <w:jc w:val="both"/>
        <w:rPr>
          <w:rFonts w:ascii="Arial" w:hAnsi="Arial" w:cs="Arial"/>
          <w:color w:val="auto"/>
        </w:rPr>
      </w:pPr>
      <w:r w:rsidRPr="007A4E45">
        <w:rPr>
          <w:rFonts w:ascii="Arial" w:hAnsi="Arial" w:cs="Arial"/>
        </w:rPr>
        <w:t>Antón, Carina Sandra; Burcet, Enrique Alfredo; Cruzado, Graciela; Galardo, Aldana Marta; Galardo, Verónica Elisa; Mallo, Liliana Mónica; Romano, Osvaldo Pablo; Tacconi, Sebastián Eugenio</w:t>
      </w:r>
      <w:r w:rsidRPr="007A4E45">
        <w:rPr>
          <w:rStyle w:val="Refdenotaalpie"/>
          <w:rFonts w:ascii="Arial" w:hAnsi="Arial" w:cs="Arial"/>
        </w:rPr>
        <w:footnoteReference w:id="2"/>
      </w:r>
      <w:r w:rsidRPr="007A4E45">
        <w:rPr>
          <w:rFonts w:ascii="Arial" w:hAnsi="Arial" w:cs="Arial"/>
        </w:rPr>
        <w:t xml:space="preserve">; Varvuzza, </w:t>
      </w:r>
      <w:r w:rsidRPr="007A4E45">
        <w:rPr>
          <w:rFonts w:ascii="Arial" w:hAnsi="Arial" w:cs="Arial"/>
          <w:bCs/>
        </w:rPr>
        <w:t>Mailen Sofia Elisa.</w:t>
      </w:r>
      <w:r w:rsidRPr="007A4E45">
        <w:rPr>
          <w:rFonts w:ascii="Arial" w:hAnsi="Arial" w:cs="Arial"/>
          <w:bCs/>
        </w:rPr>
        <w:tab/>
        <w:t xml:space="preserve"> </w:t>
      </w:r>
    </w:p>
    <w:p w:rsidR="001809E1" w:rsidRPr="007A4E45" w:rsidRDefault="001809E1" w:rsidP="009D17DA">
      <w:pPr>
        <w:autoSpaceDE w:val="0"/>
        <w:autoSpaceDN w:val="0"/>
        <w:adjustRightInd w:val="0"/>
        <w:spacing w:after="120" w:line="360" w:lineRule="auto"/>
        <w:jc w:val="both"/>
        <w:rPr>
          <w:rFonts w:ascii="Arial" w:hAnsi="Arial" w:cs="Arial"/>
          <w:bCs/>
          <w:sz w:val="24"/>
          <w:szCs w:val="24"/>
        </w:rPr>
      </w:pPr>
      <w:r w:rsidRPr="007A4E45">
        <w:rPr>
          <w:rFonts w:ascii="Arial" w:hAnsi="Arial" w:cs="Arial"/>
          <w:bCs/>
          <w:sz w:val="24"/>
          <w:szCs w:val="24"/>
        </w:rPr>
        <w:t>Correo electrónico:</w:t>
      </w:r>
      <w:r w:rsidRPr="007A4E45">
        <w:rPr>
          <w:rFonts w:ascii="Arial" w:hAnsi="Arial" w:cs="Arial"/>
          <w:b/>
          <w:bCs/>
          <w:sz w:val="24"/>
          <w:szCs w:val="24"/>
        </w:rPr>
        <w:t xml:space="preserve"> </w:t>
      </w:r>
      <w:hyperlink r:id="rId9" w:history="1">
        <w:r w:rsidRPr="007A4E45">
          <w:rPr>
            <w:rStyle w:val="Hipervnculo"/>
            <w:rFonts w:ascii="Arial" w:hAnsi="Arial" w:cs="Arial"/>
            <w:bCs/>
            <w:sz w:val="24"/>
            <w:szCs w:val="24"/>
          </w:rPr>
          <w:t>erobustelli@gmail.com</w:t>
        </w:r>
      </w:hyperlink>
    </w:p>
    <w:p w:rsidR="001809E1" w:rsidRDefault="001809E1" w:rsidP="009D17DA">
      <w:pPr>
        <w:autoSpaceDE w:val="0"/>
        <w:autoSpaceDN w:val="0"/>
        <w:adjustRightInd w:val="0"/>
        <w:spacing w:after="120" w:line="360" w:lineRule="auto"/>
        <w:jc w:val="both"/>
        <w:rPr>
          <w:rFonts w:ascii="Arial" w:hAnsi="Arial" w:cs="Arial"/>
          <w:bCs/>
          <w:sz w:val="24"/>
          <w:szCs w:val="24"/>
        </w:rPr>
      </w:pPr>
      <w:r w:rsidRPr="007A4E45">
        <w:rPr>
          <w:rFonts w:ascii="Arial" w:hAnsi="Arial" w:cs="Arial"/>
          <w:b/>
          <w:bCs/>
          <w:sz w:val="24"/>
          <w:szCs w:val="24"/>
        </w:rPr>
        <w:t>Palabras claves</w:t>
      </w:r>
      <w:r w:rsidRPr="007A4E45">
        <w:rPr>
          <w:rFonts w:ascii="Arial" w:hAnsi="Arial" w:cs="Arial"/>
          <w:bCs/>
          <w:sz w:val="24"/>
          <w:szCs w:val="24"/>
        </w:rPr>
        <w:t>: acción tutoria</w:t>
      </w:r>
      <w:r w:rsidR="003149BF">
        <w:rPr>
          <w:rFonts w:ascii="Arial" w:hAnsi="Arial" w:cs="Arial"/>
          <w:bCs/>
          <w:sz w:val="24"/>
          <w:szCs w:val="24"/>
        </w:rPr>
        <w:t>l- afiliación- deserción</w:t>
      </w:r>
      <w:r w:rsidRPr="007A4E45">
        <w:rPr>
          <w:rFonts w:ascii="Arial" w:hAnsi="Arial" w:cs="Arial"/>
          <w:bCs/>
          <w:sz w:val="24"/>
          <w:szCs w:val="24"/>
        </w:rPr>
        <w:t>.</w:t>
      </w:r>
    </w:p>
    <w:p w:rsidR="00CC56E9" w:rsidRDefault="00CC56E9" w:rsidP="00CC56E9">
      <w:pPr>
        <w:autoSpaceDE w:val="0"/>
        <w:autoSpaceDN w:val="0"/>
        <w:adjustRightInd w:val="0"/>
        <w:spacing w:line="360" w:lineRule="auto"/>
        <w:jc w:val="both"/>
        <w:rPr>
          <w:rFonts w:ascii="Arial" w:hAnsi="Arial" w:cs="Arial"/>
          <w:b/>
          <w:sz w:val="24"/>
          <w:szCs w:val="24"/>
        </w:rPr>
      </w:pPr>
      <w:r w:rsidRPr="00CC56E9">
        <w:rPr>
          <w:rFonts w:ascii="Arial" w:hAnsi="Arial" w:cs="Arial"/>
          <w:b/>
          <w:bCs/>
          <w:sz w:val="24"/>
          <w:szCs w:val="24"/>
        </w:rPr>
        <w:t>Resumen</w:t>
      </w:r>
    </w:p>
    <w:p w:rsidR="00355C64" w:rsidRPr="00CC56E9" w:rsidRDefault="003A2E60" w:rsidP="00274380">
      <w:pPr>
        <w:autoSpaceDE w:val="0"/>
        <w:autoSpaceDN w:val="0"/>
        <w:adjustRightInd w:val="0"/>
        <w:spacing w:line="360" w:lineRule="auto"/>
        <w:jc w:val="both"/>
        <w:rPr>
          <w:rFonts w:ascii="Arial" w:hAnsi="Arial" w:cs="Arial"/>
          <w:b/>
          <w:sz w:val="24"/>
          <w:szCs w:val="24"/>
        </w:rPr>
      </w:pPr>
      <w:r w:rsidRPr="007A4E45">
        <w:rPr>
          <w:rFonts w:ascii="Arial" w:hAnsi="Arial" w:cs="Arial"/>
          <w:sz w:val="24"/>
          <w:szCs w:val="24"/>
        </w:rPr>
        <w:t>Debido al rol preponderante que ejercen las universidades en la democratización del conocimiento y el acceso a la igualdad de oportunidades es que desde hace varios años se vienen ponderando el estudio de las dinámicas educativas que se implementan en ellas. Dentro de estas cuestiones han cobrado relevancia las problemáticas de deserción y reprobación las cuales derivaron en el desarrollo de una pedagogía de la afiliación y acompañamiento orientada al denominado proceso de integración institucional alumno- universidad. En este trabajo</w:t>
      </w:r>
      <w:r w:rsidR="00187826">
        <w:rPr>
          <w:rFonts w:ascii="Arial" w:hAnsi="Arial" w:cs="Arial"/>
          <w:sz w:val="24"/>
          <w:szCs w:val="24"/>
        </w:rPr>
        <w:t xml:space="preserve"> de carácter empírico-descriptivo</w:t>
      </w:r>
      <w:r w:rsidRPr="007A4E45">
        <w:rPr>
          <w:rFonts w:ascii="Arial" w:hAnsi="Arial" w:cs="Arial"/>
          <w:sz w:val="24"/>
          <w:szCs w:val="24"/>
        </w:rPr>
        <w:t xml:space="preserve"> se presenta un avance del Proyecto 55B/172 perteneciente al Departamento de Ciencias Económicas de  Universidad Nac</w:t>
      </w:r>
      <w:r w:rsidR="00187826">
        <w:rPr>
          <w:rFonts w:ascii="Arial" w:hAnsi="Arial" w:cs="Arial"/>
          <w:sz w:val="24"/>
          <w:szCs w:val="24"/>
        </w:rPr>
        <w:t>ional de la Matanza, en el cual</w:t>
      </w:r>
      <w:r w:rsidRPr="007A4E45">
        <w:rPr>
          <w:rFonts w:ascii="Arial" w:hAnsi="Arial" w:cs="Arial"/>
          <w:sz w:val="24"/>
          <w:szCs w:val="24"/>
        </w:rPr>
        <w:t xml:space="preserve"> se pretende corroborar como la implementación de un Plan de Acción Tutorial (PAT) orientado a la intervención y acompañamiento de los procesos de aprendizaje de los alumnos del primer año de la Carrera de Contador Público, incrementa el nivel de retención y de aprobación en la carrera.</w:t>
      </w:r>
      <w:r w:rsidRPr="007A4E45">
        <w:rPr>
          <w:rFonts w:ascii="Arial" w:hAnsi="Arial" w:cs="Arial"/>
          <w:color w:val="000000"/>
          <w:sz w:val="24"/>
          <w:szCs w:val="24"/>
        </w:rPr>
        <w:t xml:space="preserve">  Su diseño ofrece herramientas de seguimiento y evaluación posicionando a la tutoría como una dinámica de aprendizaje en la cual docentes y alumnos son agentes de cambio y mejora. </w:t>
      </w:r>
      <w:r w:rsidR="00355C64" w:rsidRPr="007A4E45">
        <w:rPr>
          <w:rFonts w:ascii="Arial" w:hAnsi="Arial" w:cs="Arial"/>
          <w:sz w:val="24"/>
          <w:szCs w:val="24"/>
        </w:rPr>
        <w:t>Desarrollar</w:t>
      </w:r>
      <w:r w:rsidR="00355C64" w:rsidRPr="007A4E45">
        <w:rPr>
          <w:rFonts w:ascii="Arial" w:hAnsi="Arial" w:cs="Arial"/>
          <w:sz w:val="24"/>
          <w:szCs w:val="24"/>
          <w:lang w:val="es-AR" w:eastAsia="es-AR"/>
        </w:rPr>
        <w:t xml:space="preserve"> una “</w:t>
      </w:r>
      <w:r w:rsidR="00355C64" w:rsidRPr="007A4E45">
        <w:rPr>
          <w:rFonts w:ascii="Arial" w:hAnsi="Arial" w:cs="Arial"/>
          <w:i/>
          <w:sz w:val="24"/>
          <w:szCs w:val="24"/>
          <w:lang w:val="es-AR" w:eastAsia="es-AR"/>
        </w:rPr>
        <w:t>pedagogía de la afiliación y del acompañamiento”</w:t>
      </w:r>
      <w:r w:rsidR="00355C64" w:rsidRPr="007A4E45">
        <w:rPr>
          <w:rFonts w:ascii="Arial" w:hAnsi="Arial" w:cs="Arial"/>
          <w:sz w:val="24"/>
          <w:szCs w:val="24"/>
          <w:lang w:val="es-AR" w:eastAsia="es-AR"/>
        </w:rPr>
        <w:t xml:space="preserve">, basada en un mayor conocimiento de las prácticas comunicativas en la relación tutor-tutorando, nos permitió monitorear ese trayecto que tiene por finalidad </w:t>
      </w:r>
      <w:r w:rsidR="00355C64" w:rsidRPr="007A4E45">
        <w:rPr>
          <w:rFonts w:ascii="Arial" w:hAnsi="Arial" w:cs="Arial"/>
          <w:sz w:val="24"/>
          <w:szCs w:val="24"/>
        </w:rPr>
        <w:t xml:space="preserve">facilitarle al </w:t>
      </w:r>
      <w:r w:rsidR="00355C64" w:rsidRPr="007A4E45">
        <w:rPr>
          <w:rFonts w:ascii="Arial" w:hAnsi="Arial" w:cs="Arial"/>
          <w:sz w:val="24"/>
          <w:szCs w:val="24"/>
        </w:rPr>
        <w:lastRenderedPageBreak/>
        <w:t>alumno su período de adaptación a la vida universitaria, construir su itinerario curricular y optimizar su rendimiento académico.</w:t>
      </w:r>
    </w:p>
    <w:p w:rsidR="00CC56E9" w:rsidRPr="006D6E84" w:rsidRDefault="00CC56E9" w:rsidP="00274380">
      <w:pPr>
        <w:autoSpaceDE w:val="0"/>
        <w:autoSpaceDN w:val="0"/>
        <w:adjustRightInd w:val="0"/>
        <w:spacing w:before="240" w:line="360" w:lineRule="auto"/>
        <w:jc w:val="both"/>
        <w:rPr>
          <w:rFonts w:ascii="Arial" w:hAnsi="Arial" w:cs="Arial"/>
          <w:b/>
          <w:sz w:val="24"/>
          <w:szCs w:val="24"/>
        </w:rPr>
      </w:pPr>
      <w:r>
        <w:rPr>
          <w:rFonts w:ascii="Arial" w:hAnsi="Arial" w:cs="Arial"/>
          <w:b/>
          <w:sz w:val="24"/>
          <w:szCs w:val="24"/>
        </w:rPr>
        <w:t>Problema a investigar.</w:t>
      </w:r>
      <w:r w:rsidRPr="007A4E45">
        <w:rPr>
          <w:rFonts w:ascii="Arial" w:hAnsi="Arial" w:cs="Arial"/>
          <w:b/>
          <w:sz w:val="24"/>
          <w:szCs w:val="24"/>
        </w:rPr>
        <w:t xml:space="preserve"> </w:t>
      </w:r>
    </w:p>
    <w:p w:rsidR="00EA26A2" w:rsidRDefault="008049CD" w:rsidP="00274380">
      <w:pPr>
        <w:autoSpaceDE w:val="0"/>
        <w:autoSpaceDN w:val="0"/>
        <w:adjustRightInd w:val="0"/>
        <w:spacing w:line="360" w:lineRule="auto"/>
        <w:jc w:val="both"/>
        <w:rPr>
          <w:rFonts w:ascii="Arial" w:hAnsi="Arial" w:cs="Arial"/>
          <w:sz w:val="24"/>
          <w:szCs w:val="24"/>
          <w:lang w:val="es-AR" w:eastAsia="es-AR"/>
        </w:rPr>
      </w:pPr>
      <w:r w:rsidRPr="007A4E45">
        <w:rPr>
          <w:rFonts w:ascii="Arial" w:hAnsi="Arial" w:cs="Arial"/>
          <w:sz w:val="24"/>
          <w:szCs w:val="24"/>
          <w:lang w:val="es-AR" w:eastAsia="es-AR"/>
        </w:rPr>
        <w:t>La educación superior exige el desarrollo de modalidades de estudio y dominio de competencias orales y escritas que son nuevas y extrañas para el estudiante que i</w:t>
      </w:r>
      <w:r w:rsidR="005619C7">
        <w:rPr>
          <w:rFonts w:ascii="Arial" w:hAnsi="Arial" w:cs="Arial"/>
          <w:sz w:val="24"/>
          <w:szCs w:val="24"/>
          <w:lang w:val="es-AR" w:eastAsia="es-AR"/>
        </w:rPr>
        <w:t>ngresa y, por lo tanto, plantea</w:t>
      </w:r>
      <w:r w:rsidRPr="007A4E45">
        <w:rPr>
          <w:rFonts w:ascii="Arial" w:hAnsi="Arial" w:cs="Arial"/>
          <w:sz w:val="24"/>
          <w:szCs w:val="24"/>
          <w:lang w:val="es-AR" w:eastAsia="es-AR"/>
        </w:rPr>
        <w:t xml:space="preserve"> la necesidad de hacer frente a lo que parece ser uno de los f</w:t>
      </w:r>
      <w:r w:rsidR="005619C7">
        <w:rPr>
          <w:rFonts w:ascii="Arial" w:hAnsi="Arial" w:cs="Arial"/>
          <w:sz w:val="24"/>
          <w:szCs w:val="24"/>
          <w:lang w:val="es-AR" w:eastAsia="es-AR"/>
        </w:rPr>
        <w:t>actores que inciden directamente</w:t>
      </w:r>
      <w:r w:rsidRPr="007A4E45">
        <w:rPr>
          <w:rFonts w:ascii="Arial" w:hAnsi="Arial" w:cs="Arial"/>
          <w:sz w:val="24"/>
          <w:szCs w:val="24"/>
          <w:lang w:val="es-AR" w:eastAsia="es-AR"/>
        </w:rPr>
        <w:t xml:space="preserve"> en el bajo rendimiento</w:t>
      </w:r>
      <w:r w:rsidR="005619C7">
        <w:rPr>
          <w:rFonts w:ascii="Arial" w:hAnsi="Arial" w:cs="Arial"/>
          <w:sz w:val="24"/>
          <w:szCs w:val="24"/>
          <w:lang w:val="es-AR" w:eastAsia="es-AR"/>
        </w:rPr>
        <w:t xml:space="preserve"> de los alumnos</w:t>
      </w:r>
      <w:r w:rsidRPr="007A4E45">
        <w:rPr>
          <w:rFonts w:ascii="Arial" w:hAnsi="Arial" w:cs="Arial"/>
          <w:sz w:val="24"/>
          <w:szCs w:val="24"/>
          <w:lang w:val="es-AR" w:eastAsia="es-AR"/>
        </w:rPr>
        <w:t xml:space="preserve"> a la hora de evaluar las causas de la deserción o el abandono de los estudios universitarios. </w:t>
      </w:r>
    </w:p>
    <w:p w:rsidR="00C94F56" w:rsidRPr="00CC56E9" w:rsidRDefault="008049CD" w:rsidP="00274380">
      <w:pPr>
        <w:autoSpaceDE w:val="0"/>
        <w:autoSpaceDN w:val="0"/>
        <w:adjustRightInd w:val="0"/>
        <w:spacing w:line="360" w:lineRule="auto"/>
        <w:jc w:val="both"/>
        <w:rPr>
          <w:rFonts w:ascii="Arial" w:hAnsi="Arial" w:cs="Arial"/>
          <w:sz w:val="24"/>
          <w:szCs w:val="24"/>
          <w:lang w:val="es-AR" w:eastAsia="es-AR"/>
        </w:rPr>
      </w:pPr>
      <w:r w:rsidRPr="007A4E45">
        <w:rPr>
          <w:rFonts w:ascii="Arial" w:hAnsi="Arial" w:cs="Arial"/>
          <w:sz w:val="24"/>
          <w:szCs w:val="24"/>
          <w:lang w:val="es-AR" w:eastAsia="es-AR"/>
        </w:rPr>
        <w:t xml:space="preserve">En el primer año, como en cada pasaje de nivel dentro del sistema educativo, se hacen evidentes los problemas de falta de consolidación de los aprendizajes previos, así como la precariedad y la insuficiencia de las estrategias cognitivas adquiridas. Por esta razón, nuestro propósito es </w:t>
      </w:r>
      <w:r w:rsidR="00355C64" w:rsidRPr="007A4E45">
        <w:rPr>
          <w:rFonts w:ascii="Arial" w:hAnsi="Arial" w:cs="Arial"/>
          <w:sz w:val="24"/>
          <w:szCs w:val="24"/>
          <w:lang w:val="es-AR" w:eastAsia="es-AR"/>
        </w:rPr>
        <w:t>acrecentar el índice de retención a través de la implementación de</w:t>
      </w:r>
      <w:r w:rsidRPr="007A4E45">
        <w:rPr>
          <w:rFonts w:ascii="Arial" w:hAnsi="Arial" w:cs="Arial"/>
          <w:sz w:val="24"/>
          <w:szCs w:val="24"/>
          <w:lang w:val="es-AR" w:eastAsia="es-AR"/>
        </w:rPr>
        <w:t xml:space="preserve"> </w:t>
      </w:r>
      <w:r w:rsidR="00355C64" w:rsidRPr="007A4E45">
        <w:rPr>
          <w:rFonts w:ascii="Arial" w:hAnsi="Arial" w:cs="Arial"/>
          <w:sz w:val="24"/>
          <w:szCs w:val="24"/>
          <w:lang w:val="es-AR" w:eastAsia="es-AR"/>
        </w:rPr>
        <w:t xml:space="preserve">un </w:t>
      </w:r>
      <w:r w:rsidR="00E41338">
        <w:rPr>
          <w:rFonts w:ascii="Arial" w:hAnsi="Arial" w:cs="Arial"/>
          <w:sz w:val="24"/>
          <w:szCs w:val="24"/>
          <w:lang w:val="es-AR" w:eastAsia="es-AR"/>
        </w:rPr>
        <w:t>P</w:t>
      </w:r>
      <w:r w:rsidR="00355C64" w:rsidRPr="007A4E45">
        <w:rPr>
          <w:rFonts w:ascii="Arial" w:hAnsi="Arial" w:cs="Arial"/>
          <w:sz w:val="24"/>
          <w:szCs w:val="24"/>
          <w:lang w:val="es-AR" w:eastAsia="es-AR"/>
        </w:rPr>
        <w:t xml:space="preserve">lan de </w:t>
      </w:r>
      <w:r w:rsidR="00E41338">
        <w:rPr>
          <w:rFonts w:ascii="Arial" w:hAnsi="Arial" w:cs="Arial"/>
          <w:sz w:val="24"/>
          <w:szCs w:val="24"/>
          <w:lang w:val="es-AR" w:eastAsia="es-AR"/>
        </w:rPr>
        <w:t>Acción Tutorial que le brinde</w:t>
      </w:r>
      <w:r w:rsidRPr="007A4E45">
        <w:rPr>
          <w:rFonts w:ascii="Arial" w:hAnsi="Arial" w:cs="Arial"/>
          <w:sz w:val="24"/>
          <w:szCs w:val="24"/>
          <w:lang w:val="es-AR" w:eastAsia="es-AR"/>
        </w:rPr>
        <w:t xml:space="preserve"> al alumno de primer año de la c</w:t>
      </w:r>
      <w:r w:rsidR="00355C64" w:rsidRPr="007A4E45">
        <w:rPr>
          <w:rFonts w:ascii="Arial" w:hAnsi="Arial" w:cs="Arial"/>
          <w:sz w:val="24"/>
          <w:szCs w:val="24"/>
          <w:lang w:val="es-AR" w:eastAsia="es-AR"/>
        </w:rPr>
        <w:t>arrera de Contador Público</w:t>
      </w:r>
      <w:r w:rsidRPr="007A4E45">
        <w:rPr>
          <w:rFonts w:ascii="Arial" w:hAnsi="Arial" w:cs="Arial"/>
          <w:sz w:val="24"/>
          <w:szCs w:val="24"/>
          <w:lang w:val="es-AR" w:eastAsia="es-AR"/>
        </w:rPr>
        <w:t xml:space="preserve"> la posibilidad de compartir un espacio de encuentro </w:t>
      </w:r>
      <w:r w:rsidR="00355C64" w:rsidRPr="007A4E45">
        <w:rPr>
          <w:rFonts w:ascii="Arial" w:hAnsi="Arial" w:cs="Arial"/>
          <w:sz w:val="24"/>
          <w:szCs w:val="24"/>
          <w:lang w:val="es-AR" w:eastAsia="es-AR"/>
        </w:rPr>
        <w:t>en el que</w:t>
      </w:r>
      <w:r w:rsidRPr="007A4E45">
        <w:rPr>
          <w:rFonts w:ascii="Arial" w:hAnsi="Arial" w:cs="Arial"/>
          <w:sz w:val="24"/>
          <w:szCs w:val="24"/>
          <w:lang w:val="es-AR" w:eastAsia="es-AR"/>
        </w:rPr>
        <w:t xml:space="preserve"> un docente</w:t>
      </w:r>
      <w:r w:rsidR="00355C64" w:rsidRPr="007A4E45">
        <w:rPr>
          <w:rFonts w:ascii="Arial" w:hAnsi="Arial" w:cs="Arial"/>
          <w:sz w:val="24"/>
          <w:szCs w:val="24"/>
          <w:lang w:val="es-AR" w:eastAsia="es-AR"/>
        </w:rPr>
        <w:t>-</w:t>
      </w:r>
      <w:r w:rsidR="00097EEE" w:rsidRPr="007A4E45">
        <w:rPr>
          <w:rFonts w:ascii="Arial" w:hAnsi="Arial" w:cs="Arial"/>
          <w:sz w:val="24"/>
          <w:szCs w:val="24"/>
          <w:lang w:val="es-AR" w:eastAsia="es-AR"/>
        </w:rPr>
        <w:t xml:space="preserve">tutor </w:t>
      </w:r>
      <w:r w:rsidRPr="007A4E45">
        <w:rPr>
          <w:rFonts w:ascii="Arial" w:hAnsi="Arial" w:cs="Arial"/>
          <w:sz w:val="24"/>
          <w:szCs w:val="24"/>
          <w:lang w:val="es-AR" w:eastAsia="es-AR"/>
        </w:rPr>
        <w:t>acompañe su p</w:t>
      </w:r>
      <w:r w:rsidR="00E41338">
        <w:rPr>
          <w:rFonts w:ascii="Arial" w:hAnsi="Arial" w:cs="Arial"/>
          <w:sz w:val="24"/>
          <w:szCs w:val="24"/>
          <w:lang w:val="es-AR" w:eastAsia="es-AR"/>
        </w:rPr>
        <w:t>roceso de afiliación</w:t>
      </w:r>
      <w:r w:rsidRPr="007A4E45">
        <w:rPr>
          <w:rFonts w:ascii="Arial" w:hAnsi="Arial" w:cs="Arial"/>
          <w:sz w:val="24"/>
          <w:szCs w:val="24"/>
          <w:lang w:val="es-AR" w:eastAsia="es-AR"/>
        </w:rPr>
        <w:t xml:space="preserve"> institucional</w:t>
      </w:r>
      <w:r w:rsidR="00E41338">
        <w:rPr>
          <w:rFonts w:ascii="Arial" w:hAnsi="Arial" w:cs="Arial"/>
          <w:sz w:val="24"/>
          <w:szCs w:val="24"/>
          <w:lang w:val="es-AR" w:eastAsia="es-AR"/>
        </w:rPr>
        <w:t xml:space="preserve"> y cognitiva</w:t>
      </w:r>
      <w:r w:rsidRPr="007A4E45">
        <w:rPr>
          <w:rFonts w:ascii="Arial" w:hAnsi="Arial" w:cs="Arial"/>
          <w:sz w:val="24"/>
          <w:szCs w:val="24"/>
          <w:lang w:val="es-AR" w:eastAsia="es-AR"/>
        </w:rPr>
        <w:t>.</w:t>
      </w:r>
      <w:r w:rsidR="00D256A3">
        <w:rPr>
          <w:rFonts w:ascii="Arial" w:hAnsi="Arial" w:cs="Arial"/>
          <w:sz w:val="24"/>
          <w:szCs w:val="24"/>
          <w:lang w:val="es-AR" w:eastAsia="es-AR"/>
        </w:rPr>
        <w:t xml:space="preserve"> </w:t>
      </w:r>
      <w:r w:rsidR="00E41338">
        <w:rPr>
          <w:rFonts w:ascii="Arial" w:hAnsi="Arial" w:cs="Arial"/>
          <w:sz w:val="24"/>
          <w:szCs w:val="24"/>
          <w:lang w:val="es-AR" w:eastAsia="es-AR"/>
        </w:rPr>
        <w:t>Ello supone considerar su trayectoria</w:t>
      </w:r>
      <w:r w:rsidRPr="007A4E45">
        <w:rPr>
          <w:rFonts w:ascii="Arial" w:hAnsi="Arial" w:cs="Arial"/>
          <w:sz w:val="24"/>
          <w:szCs w:val="24"/>
          <w:lang w:val="es-AR" w:eastAsia="es-AR"/>
        </w:rPr>
        <w:t xml:space="preserve"> y experiencias educat</w:t>
      </w:r>
      <w:r w:rsidR="00097EEE" w:rsidRPr="007A4E45">
        <w:rPr>
          <w:rFonts w:ascii="Arial" w:hAnsi="Arial" w:cs="Arial"/>
          <w:sz w:val="24"/>
          <w:szCs w:val="24"/>
          <w:lang w:val="es-AR" w:eastAsia="es-AR"/>
        </w:rPr>
        <w:t>ivas previas</w:t>
      </w:r>
      <w:r w:rsidRPr="007A4E45">
        <w:rPr>
          <w:rFonts w:ascii="Arial" w:hAnsi="Arial" w:cs="Arial"/>
          <w:sz w:val="24"/>
          <w:szCs w:val="24"/>
          <w:lang w:val="es-AR" w:eastAsia="es-AR"/>
        </w:rPr>
        <w:t>,</w:t>
      </w:r>
      <w:r w:rsidR="00097EEE" w:rsidRPr="007A4E45">
        <w:rPr>
          <w:rFonts w:ascii="Arial" w:hAnsi="Arial" w:cs="Arial"/>
          <w:sz w:val="24"/>
          <w:szCs w:val="24"/>
          <w:lang w:val="es-AR" w:eastAsia="es-AR"/>
        </w:rPr>
        <w:t xml:space="preserve"> su adaptación al nuevo contexto,</w:t>
      </w:r>
      <w:r w:rsidRPr="007A4E45">
        <w:rPr>
          <w:rFonts w:ascii="Arial" w:hAnsi="Arial" w:cs="Arial"/>
          <w:sz w:val="24"/>
          <w:szCs w:val="24"/>
          <w:lang w:val="es-AR" w:eastAsia="es-AR"/>
        </w:rPr>
        <w:t xml:space="preserve"> contemplar la incidencia de su</w:t>
      </w:r>
      <w:r w:rsidR="008E2450">
        <w:rPr>
          <w:rFonts w:ascii="Arial" w:hAnsi="Arial" w:cs="Arial"/>
          <w:sz w:val="24"/>
          <w:szCs w:val="24"/>
          <w:lang w:val="es-AR" w:eastAsia="es-AR"/>
        </w:rPr>
        <w:t xml:space="preserve">s condiciones </w:t>
      </w:r>
      <w:r w:rsidR="00E41338">
        <w:rPr>
          <w:rFonts w:ascii="Arial" w:hAnsi="Arial" w:cs="Arial"/>
          <w:sz w:val="24"/>
          <w:szCs w:val="24"/>
          <w:lang w:val="es-AR" w:eastAsia="es-AR"/>
        </w:rPr>
        <w:t xml:space="preserve">personales, familiares, sociales, económicas y </w:t>
      </w:r>
      <w:r w:rsidRPr="007A4E45">
        <w:rPr>
          <w:rFonts w:ascii="Arial" w:hAnsi="Arial" w:cs="Arial"/>
          <w:sz w:val="24"/>
          <w:szCs w:val="24"/>
          <w:lang w:val="es-AR" w:eastAsia="es-AR"/>
        </w:rPr>
        <w:t>culturales en sus ritmos de aprendizaje</w:t>
      </w:r>
      <w:r w:rsidR="008E2450">
        <w:rPr>
          <w:rFonts w:ascii="Arial" w:hAnsi="Arial" w:cs="Arial"/>
          <w:sz w:val="24"/>
          <w:szCs w:val="24"/>
          <w:lang w:val="es-AR" w:eastAsia="es-AR"/>
        </w:rPr>
        <w:t xml:space="preserve"> y </w:t>
      </w:r>
      <w:r w:rsidRPr="007A4E45">
        <w:rPr>
          <w:rFonts w:ascii="Arial" w:hAnsi="Arial" w:cs="Arial"/>
          <w:sz w:val="24"/>
          <w:szCs w:val="24"/>
          <w:lang w:val="es-AR" w:eastAsia="es-AR"/>
        </w:rPr>
        <w:t xml:space="preserve">aplicar estrategias </w:t>
      </w:r>
      <w:r w:rsidR="00C17CBC">
        <w:rPr>
          <w:rFonts w:ascii="Arial" w:hAnsi="Arial" w:cs="Arial"/>
          <w:sz w:val="24"/>
          <w:szCs w:val="24"/>
          <w:lang w:val="es-AR" w:eastAsia="es-AR"/>
        </w:rPr>
        <w:t>que posibiliten</w:t>
      </w:r>
      <w:r w:rsidRPr="007A4E45">
        <w:rPr>
          <w:rFonts w:ascii="Arial" w:hAnsi="Arial" w:cs="Arial"/>
          <w:sz w:val="24"/>
          <w:szCs w:val="24"/>
          <w:lang w:val="es-AR" w:eastAsia="es-AR"/>
        </w:rPr>
        <w:t xml:space="preserve"> la adquisición</w:t>
      </w:r>
      <w:r w:rsidRPr="007A4E45">
        <w:rPr>
          <w:rFonts w:ascii="Arial" w:hAnsi="Arial" w:cs="Arial"/>
          <w:i/>
          <w:iCs/>
          <w:sz w:val="24"/>
          <w:szCs w:val="24"/>
          <w:lang w:val="es-AR" w:eastAsia="es-AR"/>
        </w:rPr>
        <w:t xml:space="preserve"> </w:t>
      </w:r>
      <w:r w:rsidR="00C17CBC">
        <w:rPr>
          <w:rFonts w:ascii="Arial" w:hAnsi="Arial" w:cs="Arial"/>
          <w:sz w:val="24"/>
          <w:szCs w:val="24"/>
          <w:lang w:val="es-AR" w:eastAsia="es-AR"/>
        </w:rPr>
        <w:t>de competencias y</w:t>
      </w:r>
      <w:r w:rsidRPr="007A4E45">
        <w:rPr>
          <w:rFonts w:ascii="Arial" w:hAnsi="Arial" w:cs="Arial"/>
          <w:sz w:val="24"/>
          <w:szCs w:val="24"/>
          <w:lang w:val="es-AR" w:eastAsia="es-AR"/>
        </w:rPr>
        <w:t xml:space="preserve"> favorezcan grados crecientes de autonomía.</w:t>
      </w:r>
    </w:p>
    <w:p w:rsidR="00C921A2" w:rsidRDefault="00C921A2" w:rsidP="00CC56E9">
      <w:pPr>
        <w:autoSpaceDE w:val="0"/>
        <w:autoSpaceDN w:val="0"/>
        <w:adjustRightInd w:val="0"/>
        <w:jc w:val="both"/>
        <w:rPr>
          <w:rFonts w:ascii="Arial" w:hAnsi="Arial" w:cs="Arial"/>
          <w:b/>
          <w:sz w:val="24"/>
          <w:szCs w:val="24"/>
          <w:lang w:val="es-AR" w:eastAsia="es-AR"/>
        </w:rPr>
      </w:pPr>
    </w:p>
    <w:p w:rsidR="00417061" w:rsidRPr="00CC56E9" w:rsidRDefault="009D17DA" w:rsidP="00C921A2">
      <w:pPr>
        <w:autoSpaceDE w:val="0"/>
        <w:autoSpaceDN w:val="0"/>
        <w:adjustRightInd w:val="0"/>
        <w:spacing w:line="360" w:lineRule="auto"/>
        <w:jc w:val="both"/>
        <w:rPr>
          <w:rFonts w:ascii="Arial" w:hAnsi="Arial" w:cs="Arial"/>
          <w:b/>
          <w:sz w:val="24"/>
          <w:szCs w:val="24"/>
          <w:lang w:val="es-AR" w:eastAsia="es-AR"/>
        </w:rPr>
      </w:pPr>
      <w:r w:rsidRPr="007A4E45">
        <w:rPr>
          <w:rFonts w:ascii="Arial" w:hAnsi="Arial" w:cs="Arial"/>
          <w:b/>
          <w:sz w:val="24"/>
          <w:szCs w:val="24"/>
          <w:lang w:val="es-AR" w:eastAsia="es-AR"/>
        </w:rPr>
        <w:t>Descripción del proyecto</w:t>
      </w:r>
    </w:p>
    <w:p w:rsidR="00C23180" w:rsidRPr="008E2450" w:rsidRDefault="00417061" w:rsidP="00274380">
      <w:pPr>
        <w:autoSpaceDE w:val="0"/>
        <w:autoSpaceDN w:val="0"/>
        <w:adjustRightInd w:val="0"/>
        <w:spacing w:line="360" w:lineRule="auto"/>
        <w:ind w:right="56"/>
        <w:jc w:val="both"/>
        <w:rPr>
          <w:rFonts w:ascii="Arial" w:hAnsi="Arial" w:cs="Arial"/>
          <w:sz w:val="24"/>
          <w:szCs w:val="24"/>
        </w:rPr>
      </w:pPr>
      <w:r w:rsidRPr="008E2450">
        <w:rPr>
          <w:rFonts w:ascii="Arial" w:hAnsi="Arial" w:cs="Arial"/>
          <w:sz w:val="24"/>
          <w:szCs w:val="24"/>
        </w:rPr>
        <w:t>En una primera etapa, procedimos a diseñar</w:t>
      </w:r>
      <w:r w:rsidR="00C921A2">
        <w:rPr>
          <w:rFonts w:ascii="Arial" w:hAnsi="Arial" w:cs="Arial"/>
          <w:sz w:val="24"/>
          <w:szCs w:val="24"/>
        </w:rPr>
        <w:t xml:space="preserve"> e informatizar</w:t>
      </w:r>
      <w:r w:rsidRPr="008E2450">
        <w:rPr>
          <w:rFonts w:ascii="Arial" w:hAnsi="Arial" w:cs="Arial"/>
          <w:sz w:val="24"/>
          <w:szCs w:val="24"/>
        </w:rPr>
        <w:t xml:space="preserve"> los instrum</w:t>
      </w:r>
      <w:r w:rsidR="00C921A2">
        <w:rPr>
          <w:rFonts w:ascii="Arial" w:hAnsi="Arial" w:cs="Arial"/>
          <w:sz w:val="24"/>
          <w:szCs w:val="24"/>
        </w:rPr>
        <w:t xml:space="preserve">entos de recolección de datos que denominamos: </w:t>
      </w:r>
      <w:r w:rsidRPr="008E2450">
        <w:rPr>
          <w:rFonts w:ascii="Arial" w:hAnsi="Arial" w:cs="Arial"/>
          <w:sz w:val="24"/>
          <w:szCs w:val="24"/>
        </w:rPr>
        <w:t>Ficha del Estudiante de Ciencias Económicas, Ficha de Hábitos de Estudio y Ficha de Insc</w:t>
      </w:r>
      <w:r w:rsidR="00C921A2">
        <w:rPr>
          <w:rFonts w:ascii="Arial" w:hAnsi="Arial" w:cs="Arial"/>
          <w:sz w:val="24"/>
          <w:szCs w:val="24"/>
        </w:rPr>
        <w:t>ripción al Programa de Tutorías. De este modo, pudimos</w:t>
      </w:r>
      <w:r w:rsidRPr="008E2450">
        <w:rPr>
          <w:rFonts w:ascii="Arial" w:hAnsi="Arial" w:cs="Arial"/>
          <w:sz w:val="24"/>
          <w:szCs w:val="24"/>
        </w:rPr>
        <w:t xml:space="preserve"> recopilar</w:t>
      </w:r>
      <w:r w:rsidR="00C921A2">
        <w:rPr>
          <w:rFonts w:ascii="Arial" w:hAnsi="Arial" w:cs="Arial"/>
          <w:sz w:val="24"/>
          <w:szCs w:val="24"/>
        </w:rPr>
        <w:t xml:space="preserve"> la</w:t>
      </w:r>
      <w:r w:rsidRPr="008E2450">
        <w:rPr>
          <w:rFonts w:ascii="Arial" w:hAnsi="Arial" w:cs="Arial"/>
          <w:sz w:val="24"/>
          <w:szCs w:val="24"/>
        </w:rPr>
        <w:t xml:space="preserve"> información de los alumnos que cursan el primer año de todas las carreras que ofrece el departamento</w:t>
      </w:r>
      <w:r w:rsidR="00A770AA">
        <w:rPr>
          <w:rFonts w:ascii="Arial" w:hAnsi="Arial" w:cs="Arial"/>
          <w:sz w:val="24"/>
          <w:szCs w:val="24"/>
        </w:rPr>
        <w:t xml:space="preserve">, </w:t>
      </w:r>
      <w:r w:rsidR="00C921A2">
        <w:rPr>
          <w:rFonts w:ascii="Arial" w:hAnsi="Arial" w:cs="Arial"/>
          <w:sz w:val="24"/>
          <w:szCs w:val="24"/>
        </w:rPr>
        <w:t>constru</w:t>
      </w:r>
      <w:r w:rsidR="00D65F93">
        <w:rPr>
          <w:rFonts w:ascii="Arial" w:hAnsi="Arial" w:cs="Arial"/>
          <w:sz w:val="24"/>
          <w:szCs w:val="24"/>
        </w:rPr>
        <w:t>ir el perfil del estudiante de Ciencias E</w:t>
      </w:r>
      <w:r w:rsidR="00C921A2">
        <w:rPr>
          <w:rFonts w:ascii="Arial" w:hAnsi="Arial" w:cs="Arial"/>
          <w:sz w:val="24"/>
          <w:szCs w:val="24"/>
        </w:rPr>
        <w:t>conómicas</w:t>
      </w:r>
      <w:r w:rsidRPr="008E2450">
        <w:rPr>
          <w:rFonts w:ascii="Arial" w:hAnsi="Arial" w:cs="Arial"/>
          <w:sz w:val="24"/>
          <w:szCs w:val="24"/>
        </w:rPr>
        <w:t xml:space="preserve"> y analizar específicamente</w:t>
      </w:r>
      <w:r w:rsidR="00E41338">
        <w:rPr>
          <w:rFonts w:ascii="Arial" w:hAnsi="Arial" w:cs="Arial"/>
          <w:sz w:val="24"/>
          <w:szCs w:val="24"/>
        </w:rPr>
        <w:t xml:space="preserve"> el trayecto de aquellos que cursan</w:t>
      </w:r>
      <w:r w:rsidRPr="008E2450">
        <w:rPr>
          <w:rFonts w:ascii="Arial" w:hAnsi="Arial" w:cs="Arial"/>
          <w:sz w:val="24"/>
          <w:szCs w:val="24"/>
        </w:rPr>
        <w:t xml:space="preserve"> la </w:t>
      </w:r>
      <w:r w:rsidRPr="008E2450">
        <w:rPr>
          <w:rFonts w:ascii="Arial" w:hAnsi="Arial" w:cs="Arial"/>
          <w:sz w:val="24"/>
          <w:szCs w:val="24"/>
        </w:rPr>
        <w:lastRenderedPageBreak/>
        <w:t>carrera de Contador Público dado</w:t>
      </w:r>
      <w:r w:rsidR="00625041">
        <w:rPr>
          <w:rFonts w:ascii="Arial" w:hAnsi="Arial" w:cs="Arial"/>
          <w:sz w:val="24"/>
          <w:szCs w:val="24"/>
        </w:rPr>
        <w:t xml:space="preserve"> </w:t>
      </w:r>
      <w:r w:rsidRPr="008E2450">
        <w:rPr>
          <w:rFonts w:ascii="Arial" w:hAnsi="Arial" w:cs="Arial"/>
          <w:sz w:val="24"/>
          <w:szCs w:val="24"/>
        </w:rPr>
        <w:t>que ha sido declarada de “interés público”</w:t>
      </w:r>
      <w:r w:rsidR="00C921A2">
        <w:rPr>
          <w:rStyle w:val="Refdenotaalpie"/>
          <w:rFonts w:ascii="Arial" w:hAnsi="Arial" w:cs="Arial"/>
          <w:sz w:val="24"/>
          <w:szCs w:val="24"/>
        </w:rPr>
        <w:footnoteReference w:id="3"/>
      </w:r>
      <w:r w:rsidRPr="008E2450">
        <w:rPr>
          <w:rFonts w:ascii="Arial" w:hAnsi="Arial" w:cs="Arial"/>
          <w:sz w:val="24"/>
          <w:szCs w:val="24"/>
        </w:rPr>
        <w:t xml:space="preserve"> y, sus</w:t>
      </w:r>
      <w:r w:rsidR="00C921A2">
        <w:rPr>
          <w:rFonts w:ascii="Arial" w:hAnsi="Arial" w:cs="Arial"/>
          <w:sz w:val="24"/>
          <w:szCs w:val="24"/>
        </w:rPr>
        <w:t>ceptible de ser evaluada próximamente.</w:t>
      </w:r>
    </w:p>
    <w:p w:rsidR="00D242A4" w:rsidRPr="0034396E" w:rsidRDefault="00C921A2" w:rsidP="0034396E">
      <w:pPr>
        <w:autoSpaceDE w:val="0"/>
        <w:autoSpaceDN w:val="0"/>
        <w:adjustRightInd w:val="0"/>
        <w:spacing w:after="240" w:line="360" w:lineRule="auto"/>
        <w:ind w:right="56"/>
        <w:jc w:val="both"/>
        <w:rPr>
          <w:rFonts w:ascii="Arial" w:hAnsi="Arial" w:cs="Arial"/>
          <w:sz w:val="24"/>
          <w:szCs w:val="24"/>
        </w:rPr>
      </w:pPr>
      <w:r>
        <w:rPr>
          <w:rFonts w:ascii="Arial" w:hAnsi="Arial" w:cs="Arial"/>
          <w:sz w:val="24"/>
          <w:szCs w:val="24"/>
        </w:rPr>
        <w:t>Basados en el modelo</w:t>
      </w:r>
      <w:r w:rsidR="00C23180" w:rsidRPr="008E2450">
        <w:rPr>
          <w:rFonts w:ascii="Arial" w:hAnsi="Arial" w:cs="Arial"/>
          <w:sz w:val="24"/>
          <w:szCs w:val="24"/>
        </w:rPr>
        <w:t xml:space="preserve"> de Tutorí</w:t>
      </w:r>
      <w:r w:rsidR="005B49FF">
        <w:rPr>
          <w:rFonts w:ascii="Arial" w:hAnsi="Arial" w:cs="Arial"/>
          <w:sz w:val="24"/>
          <w:szCs w:val="24"/>
        </w:rPr>
        <w:t>a Académica por Asignatura tomamos</w:t>
      </w:r>
      <w:r w:rsidR="00C23180" w:rsidRPr="008E2450">
        <w:rPr>
          <w:rFonts w:ascii="Arial" w:hAnsi="Arial" w:cs="Arial"/>
          <w:sz w:val="24"/>
          <w:szCs w:val="24"/>
        </w:rPr>
        <w:t xml:space="preserve"> como punto de partida las dos</w:t>
      </w:r>
      <w:r w:rsidR="00417061" w:rsidRPr="008E2450">
        <w:rPr>
          <w:rFonts w:ascii="Arial" w:hAnsi="Arial" w:cs="Arial"/>
          <w:sz w:val="24"/>
          <w:szCs w:val="24"/>
        </w:rPr>
        <w:t xml:space="preserve"> que ofrecen mayor grado de dificultad</w:t>
      </w:r>
      <w:r w:rsidR="005B49FF">
        <w:rPr>
          <w:rFonts w:ascii="Arial" w:hAnsi="Arial" w:cs="Arial"/>
          <w:sz w:val="24"/>
          <w:szCs w:val="24"/>
        </w:rPr>
        <w:t xml:space="preserve"> a los alumnos</w:t>
      </w:r>
      <w:r w:rsidR="00417061" w:rsidRPr="008E2450">
        <w:rPr>
          <w:rFonts w:ascii="Arial" w:hAnsi="Arial" w:cs="Arial"/>
          <w:sz w:val="24"/>
          <w:szCs w:val="24"/>
        </w:rPr>
        <w:t>: Contabilidad Básica</w:t>
      </w:r>
      <w:r w:rsidR="00D65F93">
        <w:rPr>
          <w:rFonts w:ascii="Arial" w:hAnsi="Arial" w:cs="Arial"/>
          <w:sz w:val="24"/>
          <w:szCs w:val="24"/>
        </w:rPr>
        <w:t xml:space="preserve"> (2401) y Matemática I (2400). Posteriormente i</w:t>
      </w:r>
      <w:r w:rsidR="005B49FF">
        <w:rPr>
          <w:rFonts w:ascii="Arial" w:hAnsi="Arial" w:cs="Arial"/>
          <w:sz w:val="24"/>
          <w:szCs w:val="24"/>
        </w:rPr>
        <w:t>ncluimos también</w:t>
      </w:r>
      <w:r w:rsidR="00417061" w:rsidRPr="008E2450">
        <w:rPr>
          <w:rFonts w:ascii="Arial" w:hAnsi="Arial" w:cs="Arial"/>
          <w:sz w:val="24"/>
          <w:szCs w:val="24"/>
        </w:rPr>
        <w:t xml:space="preserve"> Introducción al Conocimi</w:t>
      </w:r>
      <w:r w:rsidR="002D1CC5">
        <w:rPr>
          <w:rFonts w:ascii="Arial" w:hAnsi="Arial" w:cs="Arial"/>
          <w:sz w:val="24"/>
          <w:szCs w:val="24"/>
        </w:rPr>
        <w:t xml:space="preserve">ento Científico (2403) ya </w:t>
      </w:r>
      <w:r w:rsidR="00C23180" w:rsidRPr="008E2450">
        <w:rPr>
          <w:rFonts w:ascii="Arial" w:hAnsi="Arial" w:cs="Arial"/>
          <w:sz w:val="24"/>
          <w:szCs w:val="24"/>
        </w:rPr>
        <w:t xml:space="preserve">que  </w:t>
      </w:r>
      <w:r w:rsidR="005B49FF">
        <w:rPr>
          <w:rFonts w:ascii="Arial" w:hAnsi="Arial" w:cs="Arial"/>
          <w:sz w:val="24"/>
          <w:szCs w:val="24"/>
        </w:rPr>
        <w:t>sus</w:t>
      </w:r>
      <w:r w:rsidR="00C23180" w:rsidRPr="008E2450">
        <w:rPr>
          <w:rFonts w:ascii="Arial" w:hAnsi="Arial" w:cs="Arial"/>
          <w:sz w:val="24"/>
          <w:szCs w:val="24"/>
        </w:rPr>
        <w:t xml:space="preserve"> </w:t>
      </w:r>
      <w:r w:rsidR="002D1CC5">
        <w:rPr>
          <w:rFonts w:ascii="Arial" w:hAnsi="Arial" w:cs="Arial"/>
          <w:sz w:val="24"/>
          <w:szCs w:val="24"/>
        </w:rPr>
        <w:t xml:space="preserve"> contenidos tienen por</w:t>
      </w:r>
      <w:r w:rsidR="005B49FF">
        <w:rPr>
          <w:rFonts w:ascii="Arial" w:hAnsi="Arial" w:cs="Arial"/>
          <w:sz w:val="24"/>
          <w:szCs w:val="24"/>
        </w:rPr>
        <w:t xml:space="preserve"> objetivo desarrollar competencias de orden científico, epistemológico y ético</w:t>
      </w:r>
      <w:r w:rsidR="002D1CC5">
        <w:rPr>
          <w:rFonts w:ascii="Arial" w:hAnsi="Arial" w:cs="Arial"/>
          <w:sz w:val="24"/>
          <w:szCs w:val="24"/>
        </w:rPr>
        <w:t>,</w:t>
      </w:r>
      <w:r w:rsidR="005B49FF">
        <w:rPr>
          <w:rFonts w:ascii="Arial" w:hAnsi="Arial" w:cs="Arial"/>
          <w:sz w:val="24"/>
          <w:szCs w:val="24"/>
        </w:rPr>
        <w:t xml:space="preserve"> tanto en la formación académica como </w:t>
      </w:r>
      <w:r w:rsidR="00417061" w:rsidRPr="008E2450">
        <w:rPr>
          <w:rFonts w:ascii="Arial" w:hAnsi="Arial" w:cs="Arial"/>
          <w:sz w:val="24"/>
          <w:szCs w:val="24"/>
        </w:rPr>
        <w:t>profesional</w:t>
      </w:r>
      <w:r w:rsidR="00374630">
        <w:rPr>
          <w:rFonts w:ascii="Arial" w:hAnsi="Arial" w:cs="Arial"/>
          <w:sz w:val="24"/>
          <w:szCs w:val="24"/>
        </w:rPr>
        <w:t xml:space="preserve">  </w:t>
      </w:r>
      <w:r w:rsidR="001D1D18">
        <w:rPr>
          <w:rFonts w:ascii="Arial" w:hAnsi="Arial" w:cs="Arial"/>
          <w:sz w:val="24"/>
          <w:szCs w:val="24"/>
        </w:rPr>
        <w:t>con un</w:t>
      </w:r>
      <w:r w:rsidR="002D1CC5">
        <w:rPr>
          <w:rFonts w:ascii="Arial" w:hAnsi="Arial" w:cs="Arial"/>
          <w:sz w:val="24"/>
          <w:szCs w:val="24"/>
        </w:rPr>
        <w:t xml:space="preserve"> bagaje lingüístico</w:t>
      </w:r>
      <w:r w:rsidR="00216EA7">
        <w:rPr>
          <w:rFonts w:ascii="Arial" w:hAnsi="Arial" w:cs="Arial"/>
          <w:sz w:val="24"/>
          <w:szCs w:val="24"/>
        </w:rPr>
        <w:t xml:space="preserve"> significativamente nuevo para el estudiante que inicia su trayecto curricular</w:t>
      </w:r>
      <w:r w:rsidR="001D1D18">
        <w:rPr>
          <w:rFonts w:ascii="Arial" w:hAnsi="Arial" w:cs="Arial"/>
          <w:sz w:val="24"/>
          <w:szCs w:val="24"/>
        </w:rPr>
        <w:t>.</w:t>
      </w:r>
      <w:r w:rsidR="00417061" w:rsidRPr="008E2450">
        <w:rPr>
          <w:rFonts w:ascii="Arial" w:hAnsi="Arial" w:cs="Arial"/>
          <w:sz w:val="24"/>
          <w:szCs w:val="24"/>
        </w:rPr>
        <w:t xml:space="preserve"> En una etapa pos</w:t>
      </w:r>
      <w:r w:rsidR="00C23180" w:rsidRPr="008E2450">
        <w:rPr>
          <w:rFonts w:ascii="Arial" w:hAnsi="Arial" w:cs="Arial"/>
          <w:sz w:val="24"/>
          <w:szCs w:val="24"/>
        </w:rPr>
        <w:t>terior, se diseñaron e implementaron</w:t>
      </w:r>
      <w:r w:rsidR="00417061" w:rsidRPr="008E2450">
        <w:rPr>
          <w:rFonts w:ascii="Arial" w:hAnsi="Arial" w:cs="Arial"/>
          <w:sz w:val="24"/>
          <w:szCs w:val="24"/>
        </w:rPr>
        <w:t xml:space="preserve"> los instrum</w:t>
      </w:r>
      <w:r w:rsidR="00C23180" w:rsidRPr="008E2450">
        <w:rPr>
          <w:rFonts w:ascii="Arial" w:hAnsi="Arial" w:cs="Arial"/>
          <w:sz w:val="24"/>
          <w:szCs w:val="24"/>
        </w:rPr>
        <w:t>entos de seguimiento para los</w:t>
      </w:r>
      <w:r w:rsidR="00417061" w:rsidRPr="008E2450">
        <w:rPr>
          <w:rFonts w:ascii="Arial" w:hAnsi="Arial" w:cs="Arial"/>
          <w:sz w:val="24"/>
          <w:szCs w:val="24"/>
        </w:rPr>
        <w:t xml:space="preserve"> alumn</w:t>
      </w:r>
      <w:r w:rsidR="00D242A4">
        <w:rPr>
          <w:rFonts w:ascii="Arial" w:hAnsi="Arial" w:cs="Arial"/>
          <w:sz w:val="24"/>
          <w:szCs w:val="24"/>
        </w:rPr>
        <w:t xml:space="preserve">os que asistieron </w:t>
      </w:r>
      <w:r w:rsidR="001D1D18">
        <w:rPr>
          <w:rFonts w:ascii="Arial" w:hAnsi="Arial" w:cs="Arial"/>
          <w:sz w:val="24"/>
          <w:szCs w:val="24"/>
        </w:rPr>
        <w:t>a los encue</w:t>
      </w:r>
      <w:r w:rsidR="002D1CC5">
        <w:rPr>
          <w:rFonts w:ascii="Arial" w:hAnsi="Arial" w:cs="Arial"/>
          <w:sz w:val="24"/>
          <w:szCs w:val="24"/>
        </w:rPr>
        <w:t>ntros tutoriales con la finalidad</w:t>
      </w:r>
      <w:r w:rsidR="001D1D18">
        <w:rPr>
          <w:rFonts w:ascii="Arial" w:hAnsi="Arial" w:cs="Arial"/>
          <w:sz w:val="24"/>
          <w:szCs w:val="24"/>
        </w:rPr>
        <w:t xml:space="preserve"> de </w:t>
      </w:r>
      <w:r w:rsidR="00417061" w:rsidRPr="008E2450">
        <w:rPr>
          <w:rFonts w:ascii="Arial" w:hAnsi="Arial" w:cs="Arial"/>
          <w:sz w:val="24"/>
          <w:szCs w:val="24"/>
        </w:rPr>
        <w:t>diagnosticar sus falencias, acompañar su proceso de afiliación</w:t>
      </w:r>
      <w:r w:rsidR="00374630">
        <w:rPr>
          <w:rFonts w:ascii="Arial" w:hAnsi="Arial" w:cs="Arial"/>
          <w:sz w:val="24"/>
          <w:szCs w:val="24"/>
        </w:rPr>
        <w:t xml:space="preserve"> tanto institucional como cognitivo</w:t>
      </w:r>
      <w:r w:rsidR="00417061" w:rsidRPr="008E2450">
        <w:rPr>
          <w:rFonts w:ascii="Arial" w:hAnsi="Arial" w:cs="Arial"/>
          <w:sz w:val="24"/>
          <w:szCs w:val="24"/>
        </w:rPr>
        <w:t>, evaluar sus logros y determinar el grado de impacto que</w:t>
      </w:r>
      <w:r w:rsidR="008E2450" w:rsidRPr="008E2450">
        <w:rPr>
          <w:rFonts w:ascii="Arial" w:hAnsi="Arial" w:cs="Arial"/>
          <w:sz w:val="24"/>
          <w:szCs w:val="24"/>
        </w:rPr>
        <w:t xml:space="preserve"> la Acción Tutorial</w:t>
      </w:r>
      <w:r w:rsidR="00D242A4">
        <w:rPr>
          <w:rFonts w:ascii="Arial" w:hAnsi="Arial" w:cs="Arial"/>
          <w:sz w:val="24"/>
          <w:szCs w:val="24"/>
        </w:rPr>
        <w:t xml:space="preserve"> generó en ellos. </w:t>
      </w:r>
      <w:r w:rsidR="00417061" w:rsidRPr="008E2450">
        <w:rPr>
          <w:rFonts w:ascii="Arial" w:hAnsi="Arial" w:cs="Arial"/>
          <w:sz w:val="24"/>
          <w:szCs w:val="24"/>
        </w:rPr>
        <w:t xml:space="preserve">En la etapa final se presentarán los resultados obtenidos y su correspondiente correlato con la realidad </w:t>
      </w:r>
      <w:r w:rsidR="00374630">
        <w:rPr>
          <w:rFonts w:ascii="Arial" w:hAnsi="Arial" w:cs="Arial"/>
          <w:sz w:val="24"/>
          <w:szCs w:val="24"/>
        </w:rPr>
        <w:t xml:space="preserve">personal, </w:t>
      </w:r>
      <w:r w:rsidR="00417061" w:rsidRPr="008E2450">
        <w:rPr>
          <w:rFonts w:ascii="Arial" w:hAnsi="Arial" w:cs="Arial"/>
          <w:sz w:val="24"/>
          <w:szCs w:val="24"/>
        </w:rPr>
        <w:t xml:space="preserve">grupal e institucional. </w:t>
      </w:r>
    </w:p>
    <w:p w:rsidR="008049CD" w:rsidRPr="00CC56E9" w:rsidRDefault="009D17DA" w:rsidP="0034396E">
      <w:pPr>
        <w:autoSpaceDE w:val="0"/>
        <w:autoSpaceDN w:val="0"/>
        <w:adjustRightInd w:val="0"/>
        <w:spacing w:line="360" w:lineRule="auto"/>
        <w:ind w:right="56"/>
        <w:jc w:val="both"/>
        <w:rPr>
          <w:rFonts w:ascii="Arial" w:hAnsi="Arial" w:cs="Arial"/>
          <w:b/>
          <w:sz w:val="24"/>
          <w:szCs w:val="24"/>
          <w:lang w:val="es-AR" w:eastAsia="es-AR"/>
        </w:rPr>
      </w:pPr>
      <w:r w:rsidRPr="007A4E45">
        <w:rPr>
          <w:rFonts w:ascii="Arial" w:hAnsi="Arial" w:cs="Arial"/>
          <w:b/>
          <w:sz w:val="24"/>
          <w:szCs w:val="24"/>
        </w:rPr>
        <w:t>Marco teórico</w:t>
      </w:r>
    </w:p>
    <w:p w:rsidR="005A2005" w:rsidRPr="007A4E45" w:rsidRDefault="005A2005" w:rsidP="00274380">
      <w:pPr>
        <w:pStyle w:val="Default"/>
        <w:spacing w:line="360" w:lineRule="auto"/>
        <w:jc w:val="both"/>
        <w:rPr>
          <w:rFonts w:ascii="Arial" w:hAnsi="Arial" w:cs="Arial"/>
        </w:rPr>
      </w:pPr>
      <w:r w:rsidRPr="007A4E45">
        <w:rPr>
          <w:rFonts w:ascii="Arial" w:hAnsi="Arial" w:cs="Arial"/>
        </w:rPr>
        <w:t xml:space="preserve">La literatura científica referida a las culturas estudiantiles de los universitarios ha destacado la condición de estos como grupo heterogéneo, que tiene un elemento central de diferenciación de las identidades estudiantiles en su vinculación al estudio. </w:t>
      </w:r>
    </w:p>
    <w:p w:rsidR="005A2005" w:rsidRDefault="00EA26A2" w:rsidP="00274380">
      <w:pPr>
        <w:autoSpaceDE w:val="0"/>
        <w:autoSpaceDN w:val="0"/>
        <w:adjustRightInd w:val="0"/>
        <w:spacing w:line="360" w:lineRule="auto"/>
        <w:jc w:val="both"/>
        <w:rPr>
          <w:rFonts w:ascii="Arial" w:hAnsi="Arial" w:cs="Arial"/>
          <w:sz w:val="24"/>
          <w:szCs w:val="24"/>
        </w:rPr>
      </w:pPr>
      <w:r>
        <w:rPr>
          <w:rFonts w:ascii="Arial" w:hAnsi="Arial" w:cs="Arial"/>
          <w:sz w:val="24"/>
          <w:szCs w:val="24"/>
        </w:rPr>
        <w:t>De los diversos aportes examinados, alguno</w:t>
      </w:r>
      <w:r w:rsidR="005A2005" w:rsidRPr="007A4E45">
        <w:rPr>
          <w:rFonts w:ascii="Arial" w:hAnsi="Arial" w:cs="Arial"/>
          <w:sz w:val="24"/>
          <w:szCs w:val="24"/>
        </w:rPr>
        <w:t xml:space="preserve">s han resultado de gran utilidad para el </w:t>
      </w:r>
      <w:r>
        <w:rPr>
          <w:rFonts w:ascii="Arial" w:hAnsi="Arial" w:cs="Arial"/>
          <w:sz w:val="24"/>
          <w:szCs w:val="24"/>
        </w:rPr>
        <w:t>sustento teórico que fundamen</w:t>
      </w:r>
      <w:r w:rsidR="00374630">
        <w:rPr>
          <w:rFonts w:ascii="Arial" w:hAnsi="Arial" w:cs="Arial"/>
          <w:sz w:val="24"/>
          <w:szCs w:val="24"/>
        </w:rPr>
        <w:t>ta</w:t>
      </w:r>
      <w:r>
        <w:rPr>
          <w:rFonts w:ascii="Arial" w:hAnsi="Arial" w:cs="Arial"/>
          <w:sz w:val="24"/>
          <w:szCs w:val="24"/>
        </w:rPr>
        <w:t xml:space="preserve"> la presente investigación</w:t>
      </w:r>
      <w:r w:rsidR="008E2450">
        <w:rPr>
          <w:rFonts w:ascii="Arial" w:hAnsi="Arial" w:cs="Arial"/>
          <w:sz w:val="24"/>
          <w:szCs w:val="24"/>
        </w:rPr>
        <w:t>.</w:t>
      </w:r>
      <w:r w:rsidR="005A2005" w:rsidRPr="007A4E45">
        <w:rPr>
          <w:rFonts w:ascii="Arial" w:hAnsi="Arial" w:cs="Arial"/>
          <w:sz w:val="24"/>
          <w:szCs w:val="24"/>
        </w:rPr>
        <w:t xml:space="preserve"> </w:t>
      </w:r>
    </w:p>
    <w:p w:rsidR="009575F2" w:rsidRPr="009575F2" w:rsidRDefault="009575F2" w:rsidP="00274380">
      <w:pPr>
        <w:autoSpaceDE w:val="0"/>
        <w:autoSpaceDN w:val="0"/>
        <w:adjustRightInd w:val="0"/>
        <w:spacing w:line="360" w:lineRule="auto"/>
        <w:jc w:val="both"/>
        <w:rPr>
          <w:rFonts w:ascii="Arial" w:hAnsi="Arial" w:cs="Arial"/>
          <w:sz w:val="24"/>
          <w:szCs w:val="24"/>
        </w:rPr>
      </w:pPr>
      <w:r w:rsidRPr="009575F2">
        <w:rPr>
          <w:rFonts w:ascii="Arial" w:hAnsi="Arial" w:cs="Arial"/>
          <w:sz w:val="24"/>
          <w:szCs w:val="24"/>
        </w:rPr>
        <w:t>La incorporación de los jóvenes a la vida universitaria es, según Alain Coulon</w:t>
      </w:r>
      <w:r w:rsidR="007869A2">
        <w:rPr>
          <w:rFonts w:ascii="Arial" w:hAnsi="Arial" w:cs="Arial"/>
          <w:sz w:val="24"/>
          <w:szCs w:val="24"/>
        </w:rPr>
        <w:t xml:space="preserve"> (2005)</w:t>
      </w:r>
      <w:r w:rsidRPr="009575F2">
        <w:rPr>
          <w:rFonts w:ascii="Arial" w:hAnsi="Arial" w:cs="Arial"/>
          <w:sz w:val="24"/>
          <w:szCs w:val="24"/>
        </w:rPr>
        <w:t>, el inicio de un proceso de aprendizaje que el autor denomina: “</w:t>
      </w:r>
      <w:r w:rsidRPr="009575F2">
        <w:rPr>
          <w:rFonts w:ascii="Arial" w:hAnsi="Arial" w:cs="Arial"/>
          <w:b/>
          <w:i/>
          <w:sz w:val="24"/>
          <w:szCs w:val="24"/>
        </w:rPr>
        <w:t>aprender el oficio de estudiante”</w:t>
      </w:r>
      <w:r w:rsidRPr="009575F2">
        <w:rPr>
          <w:rFonts w:ascii="Arial" w:hAnsi="Arial" w:cs="Arial"/>
          <w:sz w:val="24"/>
          <w:szCs w:val="24"/>
        </w:rPr>
        <w:t>.  Este trayecto conocido como</w:t>
      </w:r>
      <w:r w:rsidRPr="009575F2">
        <w:rPr>
          <w:rStyle w:val="apple-converted-space"/>
          <w:rFonts w:ascii="Arial" w:hAnsi="Arial" w:cs="Arial"/>
          <w:sz w:val="24"/>
          <w:szCs w:val="24"/>
        </w:rPr>
        <w:t> </w:t>
      </w:r>
      <w:r w:rsidRPr="009575F2">
        <w:rPr>
          <w:rFonts w:ascii="Arial" w:hAnsi="Arial" w:cs="Arial"/>
          <w:i/>
          <w:iCs/>
          <w:sz w:val="24"/>
          <w:szCs w:val="24"/>
        </w:rPr>
        <w:t>afiliación</w:t>
      </w:r>
      <w:r w:rsidRPr="009575F2">
        <w:rPr>
          <w:rFonts w:ascii="Arial" w:hAnsi="Arial" w:cs="Arial"/>
          <w:sz w:val="24"/>
          <w:szCs w:val="24"/>
        </w:rPr>
        <w:t xml:space="preserve"> se da en dos direcciones: una institucional y otra intelectual.  La primera tiene que ver con el conocimiento de los modos de funcionamiento de la universidad, su organización administrativa-funcional, sus principios, y las normas que regulan la acción de sus actores. La segunda, con el dominio de las formas del trabajo intelectual, que implica abrirse paso en un terreno de conceptos, de categorizaciones, de discursos y de prácticas propios de la esfera </w:t>
      </w:r>
      <w:r w:rsidRPr="009575F2">
        <w:rPr>
          <w:rFonts w:ascii="Arial" w:hAnsi="Arial" w:cs="Arial"/>
          <w:sz w:val="24"/>
          <w:szCs w:val="24"/>
        </w:rPr>
        <w:lastRenderedPageBreak/>
        <w:t>edu</w:t>
      </w:r>
      <w:r w:rsidR="007869A2">
        <w:rPr>
          <w:rFonts w:ascii="Arial" w:hAnsi="Arial" w:cs="Arial"/>
          <w:sz w:val="24"/>
          <w:szCs w:val="24"/>
        </w:rPr>
        <w:t>cativa universitaria (Coulon, 200</w:t>
      </w:r>
      <w:r w:rsidRPr="009575F2">
        <w:rPr>
          <w:rFonts w:ascii="Arial" w:hAnsi="Arial" w:cs="Arial"/>
          <w:sz w:val="24"/>
          <w:szCs w:val="24"/>
        </w:rPr>
        <w:t>5). El desarrollo de estos dos subprocesos no se da nec</w:t>
      </w:r>
      <w:r w:rsidR="00D242A4">
        <w:rPr>
          <w:rFonts w:ascii="Arial" w:hAnsi="Arial" w:cs="Arial"/>
          <w:sz w:val="24"/>
          <w:szCs w:val="24"/>
        </w:rPr>
        <w:t>esariamente en forma simultánea ya que</w:t>
      </w:r>
      <w:r w:rsidRPr="009575F2">
        <w:rPr>
          <w:rFonts w:ascii="Arial" w:hAnsi="Arial" w:cs="Arial"/>
          <w:sz w:val="24"/>
          <w:szCs w:val="24"/>
        </w:rPr>
        <w:t xml:space="preserve"> puede ocurrir que el ingresante supere las “pruebas” que le impone la dimensión institucional sin haber podido sortear la etapa de alienación en lo intelectual. La diferencia cronológica entre los dos tipos de afiliación explicaría la presencia en primer año de un nutrido grupo de “estudiantes fantasmas”, es decir, visibles en lo administrativo e invisibles en lo pedagógico (Legendre, 2003).</w:t>
      </w:r>
    </w:p>
    <w:p w:rsidR="009575F2" w:rsidRPr="009575F2" w:rsidRDefault="009575F2" w:rsidP="00274380">
      <w:pPr>
        <w:autoSpaceDE w:val="0"/>
        <w:autoSpaceDN w:val="0"/>
        <w:adjustRightInd w:val="0"/>
        <w:spacing w:line="360" w:lineRule="auto"/>
        <w:jc w:val="both"/>
        <w:rPr>
          <w:rFonts w:ascii="Arial" w:hAnsi="Arial" w:cs="Arial"/>
          <w:sz w:val="24"/>
          <w:szCs w:val="24"/>
        </w:rPr>
      </w:pPr>
      <w:r w:rsidRPr="009575F2">
        <w:rPr>
          <w:rFonts w:ascii="Arial" w:hAnsi="Arial" w:cs="Arial"/>
          <w:sz w:val="24"/>
          <w:szCs w:val="24"/>
        </w:rPr>
        <w:t xml:space="preserve">De acuerdo al enfoque mencionado, el fracaso y/o el rezago en el ingreso a la universidad se explicarían por la inadecuación entre las exigencias de la cultura receptora y los hábitos de quienes aspiran a ser recibidos como miembros. La afiliación se produciría, en cambio, cuando los recién llegados logran establecer una consonancia parcial con la cultura universitaria y han emprendido la construcción de una nueva identidad. Según las </w:t>
      </w:r>
      <w:r w:rsidRPr="009575F2">
        <w:rPr>
          <w:rFonts w:ascii="Arial" w:hAnsi="Arial" w:cs="Arial"/>
          <w:iCs/>
          <w:sz w:val="24"/>
          <w:szCs w:val="24"/>
        </w:rPr>
        <w:t>reglas de la afiliación intelectual todo estudiante tiene que:</w:t>
      </w:r>
      <w:r w:rsidRPr="009575F2">
        <w:rPr>
          <w:rFonts w:ascii="Arial" w:hAnsi="Arial" w:cs="Arial"/>
          <w:sz w:val="24"/>
          <w:szCs w:val="24"/>
        </w:rPr>
        <w:t xml:space="preserve"> </w:t>
      </w:r>
      <w:r w:rsidRPr="009575F2">
        <w:rPr>
          <w:rFonts w:ascii="Arial" w:hAnsi="Arial" w:cs="Arial"/>
          <w:bCs/>
          <w:sz w:val="24"/>
          <w:szCs w:val="24"/>
        </w:rPr>
        <w:t xml:space="preserve">1) Valorar de manera positiva el </w:t>
      </w:r>
      <w:r w:rsidRPr="009575F2">
        <w:rPr>
          <w:rFonts w:ascii="Arial" w:hAnsi="Arial" w:cs="Arial"/>
          <w:bCs/>
          <w:i/>
          <w:iCs/>
          <w:sz w:val="24"/>
          <w:szCs w:val="24"/>
        </w:rPr>
        <w:t xml:space="preserve">saber legítimo </w:t>
      </w:r>
      <w:r w:rsidRPr="009575F2">
        <w:rPr>
          <w:rFonts w:ascii="Arial" w:hAnsi="Arial" w:cs="Arial"/>
          <w:bCs/>
          <w:sz w:val="24"/>
          <w:szCs w:val="24"/>
        </w:rPr>
        <w:t>porque</w:t>
      </w:r>
      <w:r w:rsidRPr="009575F2">
        <w:rPr>
          <w:rFonts w:ascii="Arial" w:hAnsi="Arial" w:cs="Arial"/>
          <w:sz w:val="24"/>
          <w:szCs w:val="24"/>
        </w:rPr>
        <w:t xml:space="preserve"> la universidad exige “entrar al mundo de las ideas”. </w:t>
      </w:r>
      <w:r w:rsidRPr="009575F2">
        <w:rPr>
          <w:rFonts w:ascii="Arial" w:hAnsi="Arial" w:cs="Arial"/>
          <w:bCs/>
          <w:sz w:val="24"/>
          <w:szCs w:val="24"/>
        </w:rPr>
        <w:t>2) Utilizar categorizaciones propias del mundo intelectual</w:t>
      </w:r>
      <w:r w:rsidRPr="009575F2">
        <w:rPr>
          <w:rFonts w:ascii="Arial" w:hAnsi="Arial" w:cs="Arial"/>
          <w:sz w:val="24"/>
          <w:szCs w:val="24"/>
        </w:rPr>
        <w:t xml:space="preserve"> ya que la institución demandará al recién llegado el reconocimiento, incorporación y utilización de formas propias del conocimiento válido o </w:t>
      </w:r>
      <w:r w:rsidRPr="009575F2">
        <w:rPr>
          <w:rFonts w:ascii="Arial" w:hAnsi="Arial" w:cs="Arial"/>
          <w:i/>
          <w:iCs/>
          <w:sz w:val="24"/>
          <w:szCs w:val="24"/>
        </w:rPr>
        <w:t>episteme</w:t>
      </w:r>
      <w:r w:rsidRPr="009575F2">
        <w:rPr>
          <w:rFonts w:ascii="Arial" w:hAnsi="Arial" w:cs="Arial"/>
          <w:sz w:val="24"/>
          <w:szCs w:val="24"/>
        </w:rPr>
        <w:t xml:space="preserve">. </w:t>
      </w:r>
      <w:r w:rsidRPr="009575F2">
        <w:rPr>
          <w:rFonts w:ascii="Arial" w:hAnsi="Arial" w:cs="Arial"/>
          <w:bCs/>
          <w:sz w:val="24"/>
          <w:szCs w:val="24"/>
        </w:rPr>
        <w:t>3) Dominio del trabajo intelectual.</w:t>
      </w:r>
      <w:r w:rsidRPr="009575F2">
        <w:rPr>
          <w:rFonts w:ascii="Arial" w:hAnsi="Arial" w:cs="Arial"/>
          <w:b/>
          <w:bCs/>
          <w:sz w:val="24"/>
          <w:szCs w:val="24"/>
        </w:rPr>
        <w:t xml:space="preserve"> </w:t>
      </w:r>
      <w:r w:rsidRPr="009575F2">
        <w:rPr>
          <w:rFonts w:ascii="Arial" w:hAnsi="Arial" w:cs="Arial"/>
          <w:sz w:val="24"/>
          <w:szCs w:val="24"/>
        </w:rPr>
        <w:t xml:space="preserve">En el cumplimiento de esta norma juega un rol fundamental el dominio de </w:t>
      </w:r>
      <w:r w:rsidRPr="009575F2">
        <w:rPr>
          <w:rFonts w:ascii="Arial" w:hAnsi="Arial" w:cs="Arial"/>
          <w:i/>
          <w:iCs/>
          <w:sz w:val="24"/>
          <w:szCs w:val="24"/>
        </w:rPr>
        <w:t>marcadores de</w:t>
      </w:r>
      <w:r w:rsidRPr="009575F2">
        <w:rPr>
          <w:rFonts w:ascii="Arial" w:hAnsi="Arial" w:cs="Arial"/>
          <w:sz w:val="24"/>
          <w:szCs w:val="24"/>
        </w:rPr>
        <w:t xml:space="preserve"> </w:t>
      </w:r>
      <w:r w:rsidRPr="009575F2">
        <w:rPr>
          <w:rFonts w:ascii="Arial" w:hAnsi="Arial" w:cs="Arial"/>
          <w:i/>
          <w:iCs/>
          <w:sz w:val="24"/>
          <w:szCs w:val="24"/>
        </w:rPr>
        <w:t>afiliación discursiva</w:t>
      </w:r>
      <w:r w:rsidR="007869A2">
        <w:rPr>
          <w:rFonts w:ascii="Arial" w:hAnsi="Arial" w:cs="Arial"/>
          <w:sz w:val="24"/>
          <w:szCs w:val="24"/>
        </w:rPr>
        <w:t>. (Coulon, 2005</w:t>
      </w:r>
      <w:r w:rsidRPr="009575F2">
        <w:rPr>
          <w:rFonts w:ascii="Arial" w:hAnsi="Arial" w:cs="Arial"/>
          <w:sz w:val="24"/>
          <w:szCs w:val="24"/>
        </w:rPr>
        <w:t>)</w:t>
      </w:r>
      <w:r w:rsidR="007869A2">
        <w:rPr>
          <w:rFonts w:ascii="Arial" w:hAnsi="Arial" w:cs="Arial"/>
          <w:sz w:val="24"/>
          <w:szCs w:val="24"/>
        </w:rPr>
        <w:t>.</w:t>
      </w:r>
    </w:p>
    <w:p w:rsidR="00625041" w:rsidRDefault="009575F2" w:rsidP="00625041">
      <w:pPr>
        <w:autoSpaceDE w:val="0"/>
        <w:autoSpaceDN w:val="0"/>
        <w:adjustRightInd w:val="0"/>
        <w:spacing w:line="360" w:lineRule="auto"/>
        <w:jc w:val="both"/>
        <w:rPr>
          <w:rFonts w:ascii="Arial" w:hAnsi="Arial" w:cs="Arial"/>
          <w:sz w:val="24"/>
          <w:szCs w:val="24"/>
        </w:rPr>
      </w:pPr>
      <w:r w:rsidRPr="009575F2">
        <w:rPr>
          <w:rFonts w:ascii="Arial" w:hAnsi="Arial" w:cs="Arial"/>
          <w:sz w:val="24"/>
          <w:szCs w:val="24"/>
        </w:rPr>
        <w:t xml:space="preserve">Tal como señala Arnaud, tienen que haber “aprendido a aprender” y haberse vuelto capaces de “hacer funcionar” sus conocimientos en situaciones reales, pero también hacerlos evolucionar y adquirir otros, sin tener necesidad de ser asistidos. En otros términos, alcanzar su autonomía a través de un </w:t>
      </w:r>
      <w:r w:rsidRPr="009575F2">
        <w:rPr>
          <w:rFonts w:ascii="Arial" w:hAnsi="Arial" w:cs="Arial"/>
          <w:i/>
          <w:iCs/>
          <w:sz w:val="24"/>
          <w:szCs w:val="24"/>
        </w:rPr>
        <w:t>saber-hacer</w:t>
      </w:r>
      <w:r w:rsidRPr="009575F2">
        <w:rPr>
          <w:rFonts w:ascii="Arial" w:hAnsi="Arial" w:cs="Arial"/>
          <w:sz w:val="24"/>
          <w:szCs w:val="24"/>
        </w:rPr>
        <w:t xml:space="preserve">, un </w:t>
      </w:r>
      <w:r w:rsidRPr="009575F2">
        <w:rPr>
          <w:rFonts w:ascii="Arial" w:hAnsi="Arial" w:cs="Arial"/>
          <w:i/>
          <w:iCs/>
          <w:sz w:val="24"/>
          <w:szCs w:val="24"/>
        </w:rPr>
        <w:t xml:space="preserve">saber-ser </w:t>
      </w:r>
      <w:r w:rsidRPr="009575F2">
        <w:rPr>
          <w:rFonts w:ascii="Arial" w:hAnsi="Arial" w:cs="Arial"/>
          <w:sz w:val="24"/>
          <w:szCs w:val="24"/>
        </w:rPr>
        <w:t xml:space="preserve">y un </w:t>
      </w:r>
      <w:r w:rsidRPr="009575F2">
        <w:rPr>
          <w:rFonts w:ascii="Arial" w:hAnsi="Arial" w:cs="Arial"/>
          <w:i/>
          <w:iCs/>
          <w:sz w:val="24"/>
          <w:szCs w:val="24"/>
        </w:rPr>
        <w:t>saber convertirse</w:t>
      </w:r>
      <w:r w:rsidRPr="009575F2">
        <w:rPr>
          <w:rFonts w:ascii="Arial" w:hAnsi="Arial" w:cs="Arial"/>
          <w:sz w:val="24"/>
          <w:szCs w:val="24"/>
        </w:rPr>
        <w:t xml:space="preserve"> </w:t>
      </w:r>
      <w:r w:rsidRPr="009575F2">
        <w:rPr>
          <w:rFonts w:ascii="Arial" w:hAnsi="Arial" w:cs="Arial"/>
          <w:i/>
          <w:iCs/>
          <w:sz w:val="24"/>
          <w:szCs w:val="24"/>
        </w:rPr>
        <w:t>(en)</w:t>
      </w:r>
      <w:r w:rsidRPr="009575F2">
        <w:rPr>
          <w:rFonts w:ascii="Arial" w:hAnsi="Arial" w:cs="Arial"/>
          <w:sz w:val="24"/>
          <w:szCs w:val="24"/>
        </w:rPr>
        <w:t>. En esta concepción de autonomía queda implícita  una visión integral de la educación universitaria para la cual, si bien la “carrera” de un individuo se constituye en la especificidad de un campo disciplinar metodológico, su formación compromete el desenvolvimiento continuo de sus potencialidades en los dominios cognitivo, pragmático, afectivo y ético. (Arnaud, 1990).</w:t>
      </w:r>
    </w:p>
    <w:p w:rsidR="000C0585" w:rsidRPr="00625041" w:rsidRDefault="009575F2" w:rsidP="00625041">
      <w:pPr>
        <w:autoSpaceDE w:val="0"/>
        <w:autoSpaceDN w:val="0"/>
        <w:adjustRightInd w:val="0"/>
        <w:spacing w:line="360" w:lineRule="auto"/>
        <w:jc w:val="both"/>
        <w:rPr>
          <w:rFonts w:ascii="Arial" w:hAnsi="Arial" w:cs="Arial"/>
          <w:sz w:val="24"/>
          <w:szCs w:val="24"/>
        </w:rPr>
      </w:pPr>
      <w:r w:rsidRPr="00625041">
        <w:rPr>
          <w:rFonts w:ascii="Arial" w:hAnsi="Arial" w:cs="Arial"/>
          <w:sz w:val="24"/>
          <w:szCs w:val="24"/>
        </w:rPr>
        <w:t xml:space="preserve">Para superar la brecha que separa al estudiante ideal del estudiante real que recién se incorpora a la universidad y para no anticipar o predecir resignadamente el fracaso, es preciso, por un lado, identificar las fuentes de esa disonancia y, por otro, no actuar </w:t>
      </w:r>
      <w:r w:rsidRPr="00625041">
        <w:rPr>
          <w:rFonts w:ascii="Arial" w:hAnsi="Arial" w:cs="Arial"/>
          <w:sz w:val="24"/>
          <w:szCs w:val="24"/>
        </w:rPr>
        <w:lastRenderedPageBreak/>
        <w:t>como si naturalmente los alumnos contaran con todas las habilidades al ingresar a la educación superior.</w:t>
      </w:r>
    </w:p>
    <w:p w:rsidR="004606F7" w:rsidRPr="008E2450" w:rsidRDefault="009D17DA" w:rsidP="00A45878">
      <w:pPr>
        <w:spacing w:before="240" w:line="360" w:lineRule="auto"/>
        <w:rPr>
          <w:rFonts w:ascii="Arial" w:hAnsi="Arial" w:cs="Arial"/>
          <w:b/>
          <w:sz w:val="24"/>
          <w:szCs w:val="24"/>
        </w:rPr>
      </w:pPr>
      <w:r w:rsidRPr="008E2450">
        <w:rPr>
          <w:rFonts w:ascii="Arial" w:hAnsi="Arial" w:cs="Arial"/>
          <w:b/>
          <w:sz w:val="24"/>
          <w:szCs w:val="24"/>
        </w:rPr>
        <w:t>Resultados preliminares</w:t>
      </w:r>
    </w:p>
    <w:p w:rsidR="004B21E7" w:rsidRPr="008E2450" w:rsidRDefault="00BA39D5" w:rsidP="00274380">
      <w:pPr>
        <w:pStyle w:val="Textoindependiente"/>
        <w:spacing w:line="360" w:lineRule="auto"/>
        <w:rPr>
          <w:rFonts w:ascii="Arial" w:hAnsi="Arial" w:cs="Arial"/>
          <w:iCs/>
          <w:szCs w:val="24"/>
        </w:rPr>
      </w:pPr>
      <w:r w:rsidRPr="008E2450">
        <w:rPr>
          <w:rFonts w:ascii="Arial" w:hAnsi="Arial" w:cs="Arial"/>
          <w:iCs/>
          <w:szCs w:val="24"/>
        </w:rPr>
        <w:t>Para a</w:t>
      </w:r>
      <w:r w:rsidR="004B21E7" w:rsidRPr="008E2450">
        <w:rPr>
          <w:rFonts w:ascii="Arial" w:hAnsi="Arial" w:cs="Arial"/>
          <w:iCs/>
          <w:szCs w:val="24"/>
        </w:rPr>
        <w:t>bordar algunas problemáticas que surgen fundamentalmente en el inicio del trayecto curricular</w:t>
      </w:r>
      <w:r w:rsidRPr="008E2450">
        <w:rPr>
          <w:rFonts w:ascii="Arial" w:hAnsi="Arial" w:cs="Arial"/>
          <w:iCs/>
          <w:szCs w:val="24"/>
        </w:rPr>
        <w:t xml:space="preserve"> </w:t>
      </w:r>
      <w:r w:rsidR="004B21E7" w:rsidRPr="008E2450">
        <w:rPr>
          <w:rFonts w:ascii="Arial" w:hAnsi="Arial" w:cs="Arial"/>
          <w:szCs w:val="24"/>
        </w:rPr>
        <w:t xml:space="preserve">tuvimos en cuenta: 1) Cantidad de alumnos que ingresaron al Departamento de Ciencias Económicas, durante el ciclo lectivo 2013, 2) Cantidad y </w:t>
      </w:r>
      <w:r w:rsidR="00271C67">
        <w:rPr>
          <w:rFonts w:ascii="Arial" w:hAnsi="Arial" w:cs="Arial"/>
          <w:szCs w:val="24"/>
        </w:rPr>
        <w:t>porcentaje de alumnos que cursaron</w:t>
      </w:r>
      <w:r w:rsidR="004B21E7" w:rsidRPr="008E2450">
        <w:rPr>
          <w:rFonts w:ascii="Arial" w:hAnsi="Arial" w:cs="Arial"/>
          <w:szCs w:val="24"/>
        </w:rPr>
        <w:t xml:space="preserve"> la carrera de Contador Público </w:t>
      </w:r>
      <w:r w:rsidR="00271C67">
        <w:rPr>
          <w:rFonts w:ascii="Arial" w:hAnsi="Arial" w:cs="Arial"/>
          <w:szCs w:val="24"/>
        </w:rPr>
        <w:t>y</w:t>
      </w:r>
      <w:r w:rsidR="004B21E7" w:rsidRPr="008E2450">
        <w:rPr>
          <w:rFonts w:ascii="Arial" w:hAnsi="Arial" w:cs="Arial"/>
          <w:szCs w:val="24"/>
        </w:rPr>
        <w:t xml:space="preserve"> asistieron al Programa de Tutorías del Departamento de Ciencias Económicas, 3) Asignaturas requeridas para la asistencia tutorial, </w:t>
      </w:r>
      <w:r w:rsidR="00271C67">
        <w:rPr>
          <w:rFonts w:ascii="Arial" w:hAnsi="Arial" w:cs="Arial"/>
          <w:szCs w:val="24"/>
        </w:rPr>
        <w:t>4)</w:t>
      </w:r>
      <w:r w:rsidR="004B21E7" w:rsidRPr="008E2450">
        <w:rPr>
          <w:rFonts w:ascii="Arial" w:hAnsi="Arial" w:cs="Arial"/>
          <w:szCs w:val="24"/>
        </w:rPr>
        <w:t xml:space="preserve"> Motivos</w:t>
      </w:r>
      <w:r w:rsidR="00271C67">
        <w:rPr>
          <w:rFonts w:ascii="Arial" w:hAnsi="Arial" w:cs="Arial"/>
          <w:szCs w:val="24"/>
        </w:rPr>
        <w:t xml:space="preserve"> de asistencia a las tutorías, 5</w:t>
      </w:r>
      <w:r w:rsidR="004B21E7" w:rsidRPr="008E2450">
        <w:rPr>
          <w:rFonts w:ascii="Arial" w:hAnsi="Arial" w:cs="Arial"/>
          <w:szCs w:val="24"/>
        </w:rPr>
        <w:t>) Dificultades detect</w:t>
      </w:r>
      <w:r w:rsidR="00271C67">
        <w:rPr>
          <w:rFonts w:ascii="Arial" w:hAnsi="Arial" w:cs="Arial"/>
          <w:szCs w:val="24"/>
        </w:rPr>
        <w:t>adas por los docentes-tutores, 6</w:t>
      </w:r>
      <w:r w:rsidR="004B21E7" w:rsidRPr="008E2450">
        <w:rPr>
          <w:rFonts w:ascii="Arial" w:hAnsi="Arial" w:cs="Arial"/>
          <w:szCs w:val="24"/>
        </w:rPr>
        <w:t xml:space="preserve">) Cantidad y porcentaje de alumnos que </w:t>
      </w:r>
      <w:r w:rsidR="00271C67">
        <w:rPr>
          <w:rFonts w:ascii="Arial" w:hAnsi="Arial" w:cs="Arial"/>
          <w:szCs w:val="24"/>
        </w:rPr>
        <w:t>promocionaron las asignaturas, 7</w:t>
      </w:r>
      <w:r w:rsidR="004B21E7" w:rsidRPr="008E2450">
        <w:rPr>
          <w:rFonts w:ascii="Arial" w:hAnsi="Arial" w:cs="Arial"/>
          <w:szCs w:val="24"/>
        </w:rPr>
        <w:t>) Cantidad y porcentaje de alumnos en situación de “riesgo pedagógico”.</w:t>
      </w:r>
    </w:p>
    <w:p w:rsidR="004B21E7" w:rsidRPr="008E2450" w:rsidRDefault="004B21E7" w:rsidP="00274380">
      <w:pPr>
        <w:spacing w:line="360" w:lineRule="auto"/>
        <w:jc w:val="both"/>
        <w:rPr>
          <w:rFonts w:ascii="Arial" w:hAnsi="Arial" w:cs="Arial"/>
          <w:sz w:val="24"/>
          <w:szCs w:val="24"/>
        </w:rPr>
      </w:pPr>
      <w:r w:rsidRPr="008E2450">
        <w:rPr>
          <w:rFonts w:ascii="Arial" w:hAnsi="Arial" w:cs="Arial"/>
          <w:sz w:val="24"/>
          <w:szCs w:val="24"/>
        </w:rPr>
        <w:t>Durante el ciclo lectivo 2013,  ingresaron al Departamento de Ciencias Económicas 1.602 alumnos. Para la carrera de Contador Público: ochocientos diez (810) alumnos, para la Licenciatura en Administración: cuatrocientos sesenta y cinco (465) alumnos, para la Licenciatura en Comercio Internacional: doscientos sesenta y dos (262) alumnos y para la Licenciatura en Economía: sesenta y cinco  (65) alumnos.</w:t>
      </w:r>
    </w:p>
    <w:p w:rsidR="005E0D54" w:rsidRPr="00047A6A" w:rsidRDefault="004B21E7" w:rsidP="0034396E">
      <w:pPr>
        <w:spacing w:line="360" w:lineRule="auto"/>
        <w:jc w:val="both"/>
        <w:rPr>
          <w:rFonts w:ascii="Arial" w:hAnsi="Arial" w:cs="Arial"/>
          <w:sz w:val="24"/>
          <w:szCs w:val="24"/>
        </w:rPr>
      </w:pPr>
      <w:r w:rsidRPr="008E2450">
        <w:rPr>
          <w:rFonts w:ascii="Arial" w:hAnsi="Arial" w:cs="Arial"/>
          <w:sz w:val="24"/>
          <w:szCs w:val="24"/>
        </w:rPr>
        <w:t>El 51 % (810), es decir, poco más de la mitad de los ingresantes cursan la carrera de Contador Público, históricamente la de mayor demanda dentro del departamento. En segundo lugar, con el 29% (465), la Licenciatura en Administración, seguida por la Licenciatura en Comercio Internacional con un porcentaje del 16% (262) y la Licenciatura en Economía, con el 4% (65) de los alumnos.</w:t>
      </w:r>
    </w:p>
    <w:p w:rsidR="004B21E7" w:rsidRPr="00F77509" w:rsidRDefault="0034396E" w:rsidP="00F77509">
      <w:pPr>
        <w:spacing w:after="40" w:line="360" w:lineRule="auto"/>
        <w:jc w:val="both"/>
        <w:rPr>
          <w:rFonts w:ascii="Arial" w:hAnsi="Arial" w:cs="Arial"/>
          <w:sz w:val="24"/>
          <w:szCs w:val="24"/>
        </w:rPr>
      </w:pPr>
      <w:r>
        <w:rPr>
          <w:rFonts w:ascii="Arial" w:hAnsi="Arial" w:cs="Arial"/>
          <w:sz w:val="24"/>
          <w:szCs w:val="24"/>
        </w:rPr>
        <w:t>D</w:t>
      </w:r>
      <w:r w:rsidR="00BA39D5" w:rsidRPr="008E2450">
        <w:rPr>
          <w:rFonts w:ascii="Arial" w:hAnsi="Arial" w:cs="Arial"/>
          <w:sz w:val="24"/>
          <w:szCs w:val="24"/>
        </w:rPr>
        <w:t xml:space="preserve">e los </w:t>
      </w:r>
      <w:r>
        <w:rPr>
          <w:rFonts w:ascii="Arial" w:hAnsi="Arial" w:cs="Arial"/>
          <w:sz w:val="24"/>
          <w:szCs w:val="24"/>
        </w:rPr>
        <w:t>ciento veintidós (</w:t>
      </w:r>
      <w:r w:rsidR="00BA39D5" w:rsidRPr="008E2450">
        <w:rPr>
          <w:rFonts w:ascii="Arial" w:hAnsi="Arial" w:cs="Arial"/>
          <w:sz w:val="24"/>
          <w:szCs w:val="24"/>
        </w:rPr>
        <w:t>122</w:t>
      </w:r>
      <w:r>
        <w:rPr>
          <w:rFonts w:ascii="Arial" w:hAnsi="Arial" w:cs="Arial"/>
          <w:sz w:val="24"/>
          <w:szCs w:val="24"/>
        </w:rPr>
        <w:t>)</w:t>
      </w:r>
      <w:r w:rsidR="00BA39D5" w:rsidRPr="008E2450">
        <w:rPr>
          <w:rFonts w:ascii="Arial" w:hAnsi="Arial" w:cs="Arial"/>
          <w:sz w:val="24"/>
          <w:szCs w:val="24"/>
        </w:rPr>
        <w:t xml:space="preserve"> alumnos que asistieron a los encuentros de tutorías  el 75% (91) de ellos  cursaban la carrera de</w:t>
      </w:r>
      <w:r>
        <w:rPr>
          <w:rFonts w:ascii="Arial" w:hAnsi="Arial" w:cs="Arial"/>
          <w:sz w:val="24"/>
          <w:szCs w:val="24"/>
        </w:rPr>
        <w:t xml:space="preserve"> Contador Público.  </w:t>
      </w:r>
      <w:r w:rsidR="004B21E7" w:rsidRPr="008E2450">
        <w:rPr>
          <w:rFonts w:ascii="Arial" w:hAnsi="Arial" w:cs="Arial"/>
          <w:sz w:val="24"/>
          <w:szCs w:val="24"/>
        </w:rPr>
        <w:t xml:space="preserve"> E</w:t>
      </w:r>
      <w:r w:rsidR="008E2450">
        <w:rPr>
          <w:rFonts w:ascii="Arial" w:hAnsi="Arial" w:cs="Arial"/>
          <w:sz w:val="24"/>
          <w:szCs w:val="24"/>
        </w:rPr>
        <w:t>l mayor porcentaje, 35%  concurrió</w:t>
      </w:r>
      <w:r w:rsidR="004B21E7" w:rsidRPr="008E2450">
        <w:rPr>
          <w:rFonts w:ascii="Arial" w:hAnsi="Arial" w:cs="Arial"/>
          <w:sz w:val="24"/>
          <w:szCs w:val="24"/>
        </w:rPr>
        <w:t xml:space="preserve"> a los encuentros de Matemática I, el 25% a Contabilidad Básica, el 24% a los encuentros de Introducción al Conocimiento Científico y el 16% lo ha hecho por dificultades en otras asignaturas como: Historia Económica, Derecho Público y Administración General.  El 15% (16) de los alumnos asistieron a las tutorías en más de una asignatura.</w:t>
      </w:r>
    </w:p>
    <w:p w:rsidR="00374630" w:rsidRPr="00BD7B36" w:rsidRDefault="00894A2B" w:rsidP="00894A2B">
      <w:pPr>
        <w:spacing w:line="360" w:lineRule="auto"/>
        <w:jc w:val="both"/>
        <w:rPr>
          <w:rFonts w:ascii="Arial" w:hAnsi="Arial" w:cs="Arial"/>
          <w:sz w:val="24"/>
          <w:szCs w:val="24"/>
        </w:rPr>
      </w:pPr>
      <w:r>
        <w:rPr>
          <w:rFonts w:ascii="Arial" w:hAnsi="Arial" w:cs="Arial"/>
          <w:sz w:val="24"/>
          <w:szCs w:val="24"/>
        </w:rPr>
        <w:t>En cuanto</w:t>
      </w:r>
      <w:r w:rsidR="0034396E" w:rsidRPr="0034396E">
        <w:rPr>
          <w:rFonts w:ascii="Arial" w:hAnsi="Arial" w:cs="Arial"/>
          <w:sz w:val="24"/>
          <w:szCs w:val="24"/>
        </w:rPr>
        <w:t xml:space="preserve"> a</w:t>
      </w:r>
      <w:r w:rsidR="004B21E7" w:rsidRPr="0034396E">
        <w:rPr>
          <w:rFonts w:ascii="Arial" w:hAnsi="Arial" w:cs="Arial"/>
          <w:sz w:val="24"/>
          <w:szCs w:val="24"/>
        </w:rPr>
        <w:t xml:space="preserve"> la con</w:t>
      </w:r>
      <w:r w:rsidR="0034396E">
        <w:rPr>
          <w:rFonts w:ascii="Arial" w:hAnsi="Arial" w:cs="Arial"/>
          <w:sz w:val="24"/>
          <w:szCs w:val="24"/>
        </w:rPr>
        <w:t xml:space="preserve">dición final </w:t>
      </w:r>
      <w:r w:rsidR="004B21E7" w:rsidRPr="0034396E">
        <w:rPr>
          <w:rFonts w:ascii="Arial" w:hAnsi="Arial" w:cs="Arial"/>
          <w:sz w:val="24"/>
          <w:szCs w:val="24"/>
        </w:rPr>
        <w:t>de aquellos alumnos que completaron el programa de tutorías</w:t>
      </w:r>
      <w:r w:rsidR="0034396E">
        <w:rPr>
          <w:rFonts w:ascii="Arial" w:hAnsi="Arial" w:cs="Arial"/>
          <w:sz w:val="24"/>
          <w:szCs w:val="24"/>
        </w:rPr>
        <w:t>, se obtuvieron los siguientes resultados: e</w:t>
      </w:r>
      <w:r w:rsidR="004B21E7" w:rsidRPr="0034396E">
        <w:rPr>
          <w:rFonts w:ascii="Arial" w:hAnsi="Arial" w:cs="Arial"/>
          <w:sz w:val="24"/>
          <w:szCs w:val="24"/>
        </w:rPr>
        <w:t xml:space="preserve">l 25% de los asistentes aprobaron las </w:t>
      </w:r>
      <w:r w:rsidR="004B21E7" w:rsidRPr="0034396E">
        <w:rPr>
          <w:rFonts w:ascii="Arial" w:hAnsi="Arial" w:cs="Arial"/>
          <w:sz w:val="24"/>
          <w:szCs w:val="24"/>
        </w:rPr>
        <w:lastRenderedPageBreak/>
        <w:t xml:space="preserve">asignaturas, un 5% promocionó, un 5% reprobó y </w:t>
      </w:r>
      <w:r w:rsidR="00374630">
        <w:rPr>
          <w:rFonts w:ascii="Arial" w:hAnsi="Arial" w:cs="Arial"/>
          <w:sz w:val="24"/>
          <w:szCs w:val="24"/>
        </w:rPr>
        <w:t>el 65% quedó en condición de</w:t>
      </w:r>
      <w:r w:rsidR="004B21E7" w:rsidRPr="0034396E">
        <w:rPr>
          <w:rFonts w:ascii="Arial" w:hAnsi="Arial" w:cs="Arial"/>
          <w:sz w:val="24"/>
          <w:szCs w:val="24"/>
        </w:rPr>
        <w:t xml:space="preserve"> ausente.</w:t>
      </w:r>
      <w:r w:rsidR="00374630">
        <w:rPr>
          <w:rFonts w:ascii="Arial" w:hAnsi="Arial" w:cs="Arial"/>
          <w:sz w:val="24"/>
          <w:szCs w:val="24"/>
        </w:rPr>
        <w:t xml:space="preserve">  </w:t>
      </w:r>
      <w:r w:rsidR="00374630" w:rsidRPr="00BD7B36">
        <w:rPr>
          <w:rFonts w:ascii="Arial" w:hAnsi="Arial" w:cs="Arial"/>
          <w:sz w:val="24"/>
          <w:szCs w:val="24"/>
        </w:rPr>
        <w:t>Este último porcentaje refleja la gran cantidad de alumnos que deja</w:t>
      </w:r>
      <w:r w:rsidR="00BD7B36" w:rsidRPr="00BD7B36">
        <w:rPr>
          <w:rFonts w:ascii="Arial" w:hAnsi="Arial" w:cs="Arial"/>
          <w:sz w:val="24"/>
          <w:szCs w:val="24"/>
        </w:rPr>
        <w:t>n</w:t>
      </w:r>
      <w:r w:rsidR="00374630" w:rsidRPr="00BD7B36">
        <w:rPr>
          <w:rFonts w:ascii="Arial" w:hAnsi="Arial" w:cs="Arial"/>
          <w:sz w:val="24"/>
          <w:szCs w:val="24"/>
        </w:rPr>
        <w:t xml:space="preserve"> de cursar la</w:t>
      </w:r>
      <w:r w:rsidR="00BD7B36" w:rsidRPr="00BD7B36">
        <w:rPr>
          <w:rFonts w:ascii="Arial" w:hAnsi="Arial" w:cs="Arial"/>
          <w:sz w:val="24"/>
          <w:szCs w:val="24"/>
        </w:rPr>
        <w:t>s</w:t>
      </w:r>
      <w:r w:rsidR="00374630" w:rsidRPr="00BD7B36">
        <w:rPr>
          <w:rFonts w:ascii="Arial" w:hAnsi="Arial" w:cs="Arial"/>
          <w:sz w:val="24"/>
          <w:szCs w:val="24"/>
        </w:rPr>
        <w:t xml:space="preserve"> asignatura</w:t>
      </w:r>
      <w:r w:rsidR="00BD7B36" w:rsidRPr="00BD7B36">
        <w:rPr>
          <w:rFonts w:ascii="Arial" w:hAnsi="Arial" w:cs="Arial"/>
          <w:sz w:val="24"/>
          <w:szCs w:val="24"/>
        </w:rPr>
        <w:t>s</w:t>
      </w:r>
      <w:r w:rsidR="00374630" w:rsidRPr="00BD7B36">
        <w:rPr>
          <w:rFonts w:ascii="Arial" w:hAnsi="Arial" w:cs="Arial"/>
          <w:sz w:val="24"/>
          <w:szCs w:val="24"/>
        </w:rPr>
        <w:t xml:space="preserve"> cuando </w:t>
      </w:r>
      <w:r w:rsidR="00BD7B36" w:rsidRPr="00BD7B36">
        <w:rPr>
          <w:rFonts w:ascii="Arial" w:hAnsi="Arial" w:cs="Arial"/>
          <w:sz w:val="24"/>
          <w:szCs w:val="24"/>
        </w:rPr>
        <w:t>la nota del primer parcial no resulta</w:t>
      </w:r>
      <w:r w:rsidR="00374630" w:rsidRPr="00BD7B36">
        <w:rPr>
          <w:rFonts w:ascii="Arial" w:hAnsi="Arial" w:cs="Arial"/>
          <w:sz w:val="24"/>
          <w:szCs w:val="24"/>
        </w:rPr>
        <w:t xml:space="preserve"> satisfactoria.</w:t>
      </w:r>
    </w:p>
    <w:p w:rsidR="001D5150" w:rsidRPr="00F77509" w:rsidRDefault="00894A2B" w:rsidP="00F77509">
      <w:pPr>
        <w:spacing w:line="360" w:lineRule="auto"/>
        <w:jc w:val="both"/>
        <w:rPr>
          <w:rFonts w:ascii="Arial" w:hAnsi="Arial" w:cs="Arial"/>
          <w:sz w:val="24"/>
          <w:szCs w:val="24"/>
        </w:rPr>
      </w:pPr>
      <w:r>
        <w:rPr>
          <w:rFonts w:ascii="Arial" w:hAnsi="Arial" w:cs="Arial"/>
          <w:sz w:val="24"/>
          <w:szCs w:val="24"/>
        </w:rPr>
        <w:t>R</w:t>
      </w:r>
      <w:r w:rsidR="004B21E7" w:rsidRPr="002568E8">
        <w:rPr>
          <w:rFonts w:ascii="Arial" w:hAnsi="Arial" w:cs="Arial"/>
          <w:sz w:val="24"/>
          <w:szCs w:val="24"/>
        </w:rPr>
        <w:t xml:space="preserve">especto a los motivos por </w:t>
      </w:r>
      <w:r w:rsidR="004D53E2">
        <w:rPr>
          <w:rFonts w:ascii="Arial" w:hAnsi="Arial" w:cs="Arial"/>
          <w:sz w:val="24"/>
          <w:szCs w:val="24"/>
        </w:rPr>
        <w:t>los cuales los alumnos solicitaron</w:t>
      </w:r>
      <w:r w:rsidR="004B21E7" w:rsidRPr="002568E8">
        <w:rPr>
          <w:rFonts w:ascii="Arial" w:hAnsi="Arial" w:cs="Arial"/>
          <w:sz w:val="24"/>
          <w:szCs w:val="24"/>
        </w:rPr>
        <w:t xml:space="preserve"> asistir a los espacios tutori</w:t>
      </w:r>
      <w:r w:rsidR="00BD7B36">
        <w:rPr>
          <w:rFonts w:ascii="Arial" w:hAnsi="Arial" w:cs="Arial"/>
          <w:sz w:val="24"/>
          <w:szCs w:val="24"/>
        </w:rPr>
        <w:t>ales, pasamos a enunciarlo</w:t>
      </w:r>
      <w:r w:rsidR="007869A2">
        <w:rPr>
          <w:rFonts w:ascii="Arial" w:hAnsi="Arial" w:cs="Arial"/>
          <w:sz w:val="24"/>
          <w:szCs w:val="24"/>
        </w:rPr>
        <w:t xml:space="preserve">s según el </w:t>
      </w:r>
      <w:r w:rsidR="004B21E7" w:rsidRPr="002568E8">
        <w:rPr>
          <w:rFonts w:ascii="Arial" w:hAnsi="Arial" w:cs="Arial"/>
          <w:sz w:val="24"/>
          <w:szCs w:val="24"/>
        </w:rPr>
        <w:t>orden de prior</w:t>
      </w:r>
      <w:r w:rsidR="00BD7B36">
        <w:rPr>
          <w:rFonts w:ascii="Arial" w:hAnsi="Arial" w:cs="Arial"/>
          <w:sz w:val="24"/>
          <w:szCs w:val="24"/>
        </w:rPr>
        <w:t>idad manifestado:</w:t>
      </w:r>
      <w:r w:rsidR="004B21E7" w:rsidRPr="002568E8">
        <w:rPr>
          <w:rFonts w:ascii="Arial" w:hAnsi="Arial" w:cs="Arial"/>
          <w:sz w:val="24"/>
          <w:szCs w:val="24"/>
        </w:rPr>
        <w:t xml:space="preserve"> aprende</w:t>
      </w:r>
      <w:r w:rsidR="00BD7B36">
        <w:rPr>
          <w:rFonts w:ascii="Arial" w:hAnsi="Arial" w:cs="Arial"/>
          <w:sz w:val="24"/>
          <w:szCs w:val="24"/>
        </w:rPr>
        <w:t xml:space="preserve">r técnicas de estudio (43), </w:t>
      </w:r>
      <w:r w:rsidR="004B21E7" w:rsidRPr="002568E8">
        <w:rPr>
          <w:rFonts w:ascii="Arial" w:hAnsi="Arial" w:cs="Arial"/>
          <w:sz w:val="24"/>
          <w:szCs w:val="24"/>
        </w:rPr>
        <w:t xml:space="preserve">apoyo </w:t>
      </w:r>
      <w:r w:rsidR="00BD7B36">
        <w:rPr>
          <w:rFonts w:ascii="Arial" w:hAnsi="Arial" w:cs="Arial"/>
          <w:sz w:val="24"/>
          <w:szCs w:val="24"/>
        </w:rPr>
        <w:t xml:space="preserve">en la asignatura (32), </w:t>
      </w:r>
      <w:r w:rsidR="004B21E7" w:rsidRPr="002568E8">
        <w:rPr>
          <w:rFonts w:ascii="Arial" w:hAnsi="Arial" w:cs="Arial"/>
          <w:sz w:val="24"/>
          <w:szCs w:val="24"/>
        </w:rPr>
        <w:t>problemas de comprensió</w:t>
      </w:r>
      <w:r w:rsidR="00BD7B36">
        <w:rPr>
          <w:rFonts w:ascii="Arial" w:hAnsi="Arial" w:cs="Arial"/>
          <w:sz w:val="24"/>
          <w:szCs w:val="24"/>
        </w:rPr>
        <w:t xml:space="preserve">n de las asignaturas (17), </w:t>
      </w:r>
      <w:r w:rsidR="004B21E7" w:rsidRPr="002568E8">
        <w:rPr>
          <w:rFonts w:ascii="Arial" w:hAnsi="Arial" w:cs="Arial"/>
          <w:sz w:val="24"/>
          <w:szCs w:val="24"/>
        </w:rPr>
        <w:t>org</w:t>
      </w:r>
      <w:r w:rsidR="00BD7B36">
        <w:rPr>
          <w:rFonts w:ascii="Arial" w:hAnsi="Arial" w:cs="Arial"/>
          <w:sz w:val="24"/>
          <w:szCs w:val="24"/>
        </w:rPr>
        <w:t>anizar la información (13),</w:t>
      </w:r>
      <w:r w:rsidR="004B21E7" w:rsidRPr="002568E8">
        <w:rPr>
          <w:rFonts w:ascii="Arial" w:hAnsi="Arial" w:cs="Arial"/>
          <w:sz w:val="24"/>
          <w:szCs w:val="24"/>
        </w:rPr>
        <w:t xml:space="preserve"> planificar</w:t>
      </w:r>
      <w:r w:rsidR="00BD7B36">
        <w:rPr>
          <w:rFonts w:ascii="Arial" w:hAnsi="Arial" w:cs="Arial"/>
          <w:sz w:val="24"/>
          <w:szCs w:val="24"/>
        </w:rPr>
        <w:t xml:space="preserve"> el tiempo de estudio (10),</w:t>
      </w:r>
      <w:r w:rsidR="004B21E7" w:rsidRPr="002568E8">
        <w:rPr>
          <w:rFonts w:ascii="Arial" w:hAnsi="Arial" w:cs="Arial"/>
          <w:sz w:val="24"/>
          <w:szCs w:val="24"/>
        </w:rPr>
        <w:t xml:space="preserve"> reforzar los conocimie</w:t>
      </w:r>
      <w:r w:rsidR="00BD7B36">
        <w:rPr>
          <w:rFonts w:ascii="Arial" w:hAnsi="Arial" w:cs="Arial"/>
          <w:sz w:val="24"/>
          <w:szCs w:val="24"/>
        </w:rPr>
        <w:t xml:space="preserve">ntos de la asignatura (10), </w:t>
      </w:r>
      <w:r w:rsidR="004B21E7" w:rsidRPr="002568E8">
        <w:rPr>
          <w:rFonts w:ascii="Arial" w:hAnsi="Arial" w:cs="Arial"/>
          <w:sz w:val="24"/>
          <w:szCs w:val="24"/>
        </w:rPr>
        <w:t>desapr</w:t>
      </w:r>
      <w:r w:rsidR="00BD7B36">
        <w:rPr>
          <w:rFonts w:ascii="Arial" w:hAnsi="Arial" w:cs="Arial"/>
          <w:sz w:val="24"/>
          <w:szCs w:val="24"/>
        </w:rPr>
        <w:t>obar el primer parcial (5),</w:t>
      </w:r>
      <w:r w:rsidR="004B21E7" w:rsidRPr="002568E8">
        <w:rPr>
          <w:rFonts w:ascii="Arial" w:hAnsi="Arial" w:cs="Arial"/>
          <w:sz w:val="24"/>
          <w:szCs w:val="24"/>
        </w:rPr>
        <w:t xml:space="preserve"> solicitar orientación de la carrera (1).</w:t>
      </w:r>
    </w:p>
    <w:p w:rsidR="004B21E7" w:rsidRPr="001D5150" w:rsidRDefault="00BD7B36" w:rsidP="00F77509">
      <w:pPr>
        <w:spacing w:after="240" w:line="360" w:lineRule="auto"/>
        <w:jc w:val="both"/>
        <w:rPr>
          <w:rFonts w:ascii="Arial" w:hAnsi="Arial" w:cs="Arial"/>
          <w:sz w:val="24"/>
          <w:szCs w:val="24"/>
        </w:rPr>
      </w:pPr>
      <w:r>
        <w:rPr>
          <w:rFonts w:ascii="Arial" w:hAnsi="Arial" w:cs="Arial"/>
          <w:sz w:val="24"/>
          <w:szCs w:val="24"/>
        </w:rPr>
        <w:t>Por otro lado</w:t>
      </w:r>
      <w:r w:rsidR="004D53E2">
        <w:rPr>
          <w:rFonts w:ascii="Arial" w:hAnsi="Arial" w:cs="Arial"/>
          <w:sz w:val="24"/>
          <w:szCs w:val="24"/>
        </w:rPr>
        <w:t>, l</w:t>
      </w:r>
      <w:r w:rsidR="004B21E7" w:rsidRPr="002568E8">
        <w:rPr>
          <w:rFonts w:ascii="Arial" w:hAnsi="Arial" w:cs="Arial"/>
          <w:sz w:val="24"/>
          <w:szCs w:val="24"/>
        </w:rPr>
        <w:t>os doc</w:t>
      </w:r>
      <w:r>
        <w:rPr>
          <w:rFonts w:ascii="Arial" w:hAnsi="Arial" w:cs="Arial"/>
          <w:sz w:val="24"/>
          <w:szCs w:val="24"/>
        </w:rPr>
        <w:t xml:space="preserve">entes-tutores detectaron </w:t>
      </w:r>
      <w:r w:rsidR="004B21E7" w:rsidRPr="002568E8">
        <w:rPr>
          <w:rFonts w:ascii="Arial" w:hAnsi="Arial" w:cs="Arial"/>
          <w:sz w:val="24"/>
          <w:szCs w:val="24"/>
        </w:rPr>
        <w:t>las siguientes dificultades: carenc</w:t>
      </w:r>
      <w:r w:rsidR="004D53E2">
        <w:rPr>
          <w:rFonts w:ascii="Arial" w:hAnsi="Arial" w:cs="Arial"/>
          <w:sz w:val="24"/>
          <w:szCs w:val="24"/>
        </w:rPr>
        <w:t>ia de hábitos de estudio (28), c</w:t>
      </w:r>
      <w:r w:rsidR="004B21E7" w:rsidRPr="002568E8">
        <w:rPr>
          <w:rFonts w:ascii="Arial" w:hAnsi="Arial" w:cs="Arial"/>
          <w:sz w:val="24"/>
          <w:szCs w:val="24"/>
        </w:rPr>
        <w:t>arencia de conocimientos básicos (26), problemas para identificar la estructura de los textos (26), escasa organización y continuidad en el estudio (19), dificultades en saberes previos (12), problemas de comprensión</w:t>
      </w:r>
      <w:r>
        <w:rPr>
          <w:rFonts w:ascii="Arial" w:hAnsi="Arial" w:cs="Arial"/>
          <w:sz w:val="24"/>
          <w:szCs w:val="24"/>
        </w:rPr>
        <w:t xml:space="preserve"> general</w:t>
      </w:r>
      <w:r w:rsidR="004B21E7" w:rsidRPr="002568E8">
        <w:rPr>
          <w:rFonts w:ascii="Arial" w:hAnsi="Arial" w:cs="Arial"/>
          <w:sz w:val="24"/>
          <w:szCs w:val="24"/>
        </w:rPr>
        <w:t xml:space="preserve"> (4) </w:t>
      </w:r>
      <w:r>
        <w:rPr>
          <w:rFonts w:ascii="Arial" w:hAnsi="Arial" w:cs="Arial"/>
          <w:sz w:val="24"/>
          <w:szCs w:val="24"/>
        </w:rPr>
        <w:t>y dificultades en la interpretación</w:t>
      </w:r>
      <w:r w:rsidR="004B21E7" w:rsidRPr="002568E8">
        <w:rPr>
          <w:rFonts w:ascii="Arial" w:hAnsi="Arial" w:cs="Arial"/>
          <w:sz w:val="24"/>
          <w:szCs w:val="24"/>
        </w:rPr>
        <w:t xml:space="preserve"> de consignas (1). Señalan que en algunos alumnos se observan varias dificultades simultáneamente.</w:t>
      </w:r>
    </w:p>
    <w:p w:rsidR="00894A2B" w:rsidRPr="00894A2B" w:rsidRDefault="004B21E7" w:rsidP="00894A2B">
      <w:pPr>
        <w:spacing w:after="240"/>
        <w:rPr>
          <w:rFonts w:ascii="Arial" w:hAnsi="Arial" w:cs="Arial"/>
          <w:b/>
          <w:sz w:val="24"/>
          <w:szCs w:val="24"/>
        </w:rPr>
      </w:pPr>
      <w:r w:rsidRPr="002568E8">
        <w:rPr>
          <w:rFonts w:ascii="Arial" w:hAnsi="Arial" w:cs="Arial"/>
          <w:b/>
          <w:sz w:val="24"/>
          <w:szCs w:val="24"/>
        </w:rPr>
        <w:t>Alumnos en situación de “riesgo pedagógico”</w:t>
      </w:r>
    </w:p>
    <w:p w:rsidR="002D69D6" w:rsidRPr="002D69D6" w:rsidRDefault="004B21E7" w:rsidP="00894A2B">
      <w:pPr>
        <w:spacing w:after="240" w:line="360" w:lineRule="auto"/>
        <w:jc w:val="both"/>
        <w:rPr>
          <w:rFonts w:ascii="Arial" w:hAnsi="Arial" w:cs="Arial"/>
          <w:sz w:val="24"/>
          <w:szCs w:val="24"/>
        </w:rPr>
      </w:pPr>
      <w:r w:rsidRPr="002568E8">
        <w:rPr>
          <w:rFonts w:ascii="Arial" w:hAnsi="Arial" w:cs="Arial"/>
          <w:sz w:val="24"/>
          <w:szCs w:val="24"/>
        </w:rPr>
        <w:t>A partir del segundo</w:t>
      </w:r>
      <w:r w:rsidR="009D3924">
        <w:rPr>
          <w:rFonts w:ascii="Arial" w:hAnsi="Arial" w:cs="Arial"/>
          <w:sz w:val="24"/>
          <w:szCs w:val="24"/>
        </w:rPr>
        <w:t xml:space="preserve"> cuatrimestre hemos iniciado un proceso de</w:t>
      </w:r>
      <w:r w:rsidRPr="002568E8">
        <w:rPr>
          <w:rFonts w:ascii="Arial" w:hAnsi="Arial" w:cs="Arial"/>
          <w:sz w:val="24"/>
          <w:szCs w:val="24"/>
        </w:rPr>
        <w:t xml:space="preserve"> intervención tutorial principalmente con los alumnos en estado de riesgo</w:t>
      </w:r>
      <w:r w:rsidR="009D3924">
        <w:rPr>
          <w:rFonts w:ascii="Arial" w:hAnsi="Arial" w:cs="Arial"/>
          <w:sz w:val="24"/>
          <w:szCs w:val="24"/>
        </w:rPr>
        <w:t xml:space="preserve"> pedagógico</w:t>
      </w:r>
      <w:r w:rsidRPr="002568E8">
        <w:rPr>
          <w:rFonts w:ascii="Arial" w:hAnsi="Arial" w:cs="Arial"/>
          <w:sz w:val="24"/>
          <w:szCs w:val="24"/>
        </w:rPr>
        <w:t xml:space="preserve">, es decir, con aquellos estudiantes que durante el primer cuatrimestre no aprobaron ninguna asignatura. </w:t>
      </w:r>
      <w:r w:rsidR="002D69D6">
        <w:rPr>
          <w:rFonts w:ascii="Arial" w:hAnsi="Arial" w:cs="Arial"/>
          <w:sz w:val="24"/>
          <w:szCs w:val="24"/>
        </w:rPr>
        <w:t>Los resultados obtenidos fueron los siguientes: e</w:t>
      </w:r>
      <w:r w:rsidRPr="002568E8">
        <w:rPr>
          <w:rFonts w:ascii="Arial" w:hAnsi="Arial" w:cs="Arial"/>
          <w:sz w:val="24"/>
          <w:szCs w:val="24"/>
        </w:rPr>
        <w:t>l 54% (257) de</w:t>
      </w:r>
      <w:r w:rsidR="001D5150">
        <w:rPr>
          <w:rFonts w:ascii="Arial" w:hAnsi="Arial" w:cs="Arial"/>
          <w:sz w:val="24"/>
          <w:szCs w:val="24"/>
        </w:rPr>
        <w:t xml:space="preserve"> </w:t>
      </w:r>
      <w:r w:rsidRPr="002568E8">
        <w:rPr>
          <w:rFonts w:ascii="Arial" w:hAnsi="Arial" w:cs="Arial"/>
          <w:sz w:val="24"/>
          <w:szCs w:val="24"/>
        </w:rPr>
        <w:t>lo</w:t>
      </w:r>
      <w:r w:rsidR="009D3924">
        <w:rPr>
          <w:rFonts w:ascii="Arial" w:hAnsi="Arial" w:cs="Arial"/>
          <w:sz w:val="24"/>
          <w:szCs w:val="24"/>
        </w:rPr>
        <w:t>s alumnos ingresantes que cursaban</w:t>
      </w:r>
      <w:r w:rsidRPr="002568E8">
        <w:rPr>
          <w:rFonts w:ascii="Arial" w:hAnsi="Arial" w:cs="Arial"/>
          <w:sz w:val="24"/>
          <w:szCs w:val="24"/>
        </w:rPr>
        <w:t xml:space="preserve"> la ca</w:t>
      </w:r>
      <w:r w:rsidR="009D3924">
        <w:rPr>
          <w:rFonts w:ascii="Arial" w:hAnsi="Arial" w:cs="Arial"/>
          <w:sz w:val="24"/>
          <w:szCs w:val="24"/>
        </w:rPr>
        <w:t>rrera de Contador Público no habían</w:t>
      </w:r>
      <w:r w:rsidRPr="002568E8">
        <w:rPr>
          <w:rFonts w:ascii="Arial" w:hAnsi="Arial" w:cs="Arial"/>
          <w:sz w:val="24"/>
          <w:szCs w:val="24"/>
        </w:rPr>
        <w:t xml:space="preserve"> aprobado ninguna materia durante el primer cuatrimest</w:t>
      </w:r>
      <w:r w:rsidR="009D3924">
        <w:rPr>
          <w:rFonts w:ascii="Arial" w:hAnsi="Arial" w:cs="Arial"/>
          <w:sz w:val="24"/>
          <w:szCs w:val="24"/>
        </w:rPr>
        <w:t>re. El 27% (126) en la Licencia</w:t>
      </w:r>
      <w:r w:rsidRPr="002568E8">
        <w:rPr>
          <w:rFonts w:ascii="Arial" w:hAnsi="Arial" w:cs="Arial"/>
          <w:sz w:val="24"/>
          <w:szCs w:val="24"/>
        </w:rPr>
        <w:t>tura en Administración de Empresas</w:t>
      </w:r>
      <w:r w:rsidR="009D3924">
        <w:rPr>
          <w:rFonts w:ascii="Arial" w:hAnsi="Arial" w:cs="Arial"/>
          <w:sz w:val="24"/>
          <w:szCs w:val="24"/>
        </w:rPr>
        <w:t>, 15% (69)</w:t>
      </w:r>
      <w:r w:rsidRPr="002568E8">
        <w:rPr>
          <w:rFonts w:ascii="Arial" w:hAnsi="Arial" w:cs="Arial"/>
          <w:sz w:val="24"/>
          <w:szCs w:val="24"/>
        </w:rPr>
        <w:t xml:space="preserve">  en la carrera de Licenciatura en</w:t>
      </w:r>
      <w:r w:rsidR="009D3924">
        <w:rPr>
          <w:rFonts w:ascii="Arial" w:hAnsi="Arial" w:cs="Arial"/>
          <w:sz w:val="24"/>
          <w:szCs w:val="24"/>
        </w:rPr>
        <w:t xml:space="preserve"> Comercio Internacional</w:t>
      </w:r>
      <w:r w:rsidRPr="002568E8">
        <w:rPr>
          <w:rFonts w:ascii="Arial" w:hAnsi="Arial" w:cs="Arial"/>
          <w:sz w:val="24"/>
          <w:szCs w:val="24"/>
        </w:rPr>
        <w:t xml:space="preserve"> y en </w:t>
      </w:r>
      <w:r w:rsidR="009D3924">
        <w:rPr>
          <w:rFonts w:ascii="Arial" w:hAnsi="Arial" w:cs="Arial"/>
          <w:sz w:val="24"/>
          <w:szCs w:val="24"/>
        </w:rPr>
        <w:t xml:space="preserve">la Licenciatura en Economía </w:t>
      </w:r>
      <w:r w:rsidRPr="002568E8">
        <w:rPr>
          <w:rFonts w:ascii="Arial" w:hAnsi="Arial" w:cs="Arial"/>
          <w:sz w:val="24"/>
          <w:szCs w:val="24"/>
        </w:rPr>
        <w:t>el 4% (20).</w:t>
      </w:r>
    </w:p>
    <w:p w:rsidR="004B21E7" w:rsidRPr="002568E8" w:rsidRDefault="004B21E7" w:rsidP="002568E8">
      <w:pPr>
        <w:spacing w:after="240"/>
        <w:rPr>
          <w:rFonts w:ascii="Arial" w:hAnsi="Arial" w:cs="Arial"/>
          <w:b/>
          <w:sz w:val="24"/>
          <w:szCs w:val="24"/>
        </w:rPr>
      </w:pPr>
      <w:r w:rsidRPr="002568E8">
        <w:rPr>
          <w:rFonts w:ascii="Arial" w:hAnsi="Arial" w:cs="Arial"/>
          <w:b/>
          <w:sz w:val="24"/>
          <w:szCs w:val="24"/>
        </w:rPr>
        <w:t>Causas de la situación de riesgo pedagógico.</w:t>
      </w:r>
    </w:p>
    <w:p w:rsidR="008F5F9B" w:rsidRPr="008F5F9B" w:rsidRDefault="004B21E7" w:rsidP="00AA6049">
      <w:pPr>
        <w:spacing w:line="360" w:lineRule="auto"/>
        <w:jc w:val="both"/>
        <w:rPr>
          <w:rFonts w:ascii="Arial" w:hAnsi="Arial" w:cs="Arial"/>
          <w:sz w:val="24"/>
          <w:szCs w:val="24"/>
        </w:rPr>
      </w:pPr>
      <w:r w:rsidRPr="002568E8">
        <w:rPr>
          <w:rFonts w:ascii="Arial" w:hAnsi="Arial" w:cs="Arial"/>
          <w:sz w:val="24"/>
          <w:szCs w:val="24"/>
        </w:rPr>
        <w:t>Para conocer las posibles causas por las cuales</w:t>
      </w:r>
      <w:r w:rsidR="007869A2">
        <w:rPr>
          <w:rFonts w:ascii="Arial" w:hAnsi="Arial" w:cs="Arial"/>
          <w:sz w:val="24"/>
          <w:szCs w:val="24"/>
        </w:rPr>
        <w:t xml:space="preserve"> los alumnos durante el primer cuatrimestre</w:t>
      </w:r>
      <w:r w:rsidRPr="002568E8">
        <w:rPr>
          <w:rFonts w:ascii="Arial" w:hAnsi="Arial" w:cs="Arial"/>
          <w:sz w:val="24"/>
          <w:szCs w:val="24"/>
        </w:rPr>
        <w:t xml:space="preserve"> no aprobaron ninguna materia,  procedimos a realiz</w:t>
      </w:r>
      <w:r w:rsidR="00BD7B36">
        <w:rPr>
          <w:rFonts w:ascii="Arial" w:hAnsi="Arial" w:cs="Arial"/>
          <w:sz w:val="24"/>
          <w:szCs w:val="24"/>
        </w:rPr>
        <w:t>ar una intervención tutorial mediante una entrevista telefónica con</w:t>
      </w:r>
      <w:r w:rsidRPr="002568E8">
        <w:rPr>
          <w:rFonts w:ascii="Arial" w:hAnsi="Arial" w:cs="Arial"/>
          <w:sz w:val="24"/>
          <w:szCs w:val="24"/>
        </w:rPr>
        <w:t xml:space="preserve"> cada uno de ellos.</w:t>
      </w:r>
      <w:r w:rsidR="005E0D54" w:rsidRPr="002568E8">
        <w:rPr>
          <w:rFonts w:ascii="Arial" w:hAnsi="Arial" w:cs="Arial"/>
          <w:sz w:val="24"/>
          <w:szCs w:val="24"/>
        </w:rPr>
        <w:t xml:space="preserve"> </w:t>
      </w:r>
      <w:r w:rsidRPr="002568E8">
        <w:rPr>
          <w:rFonts w:ascii="Arial" w:hAnsi="Arial" w:cs="Arial"/>
          <w:sz w:val="24"/>
          <w:szCs w:val="24"/>
        </w:rPr>
        <w:t>Los resultados</w:t>
      </w:r>
      <w:r w:rsidR="007869A2">
        <w:rPr>
          <w:rFonts w:ascii="Arial" w:hAnsi="Arial" w:cs="Arial"/>
          <w:sz w:val="24"/>
          <w:szCs w:val="24"/>
        </w:rPr>
        <w:t xml:space="preserve"> obtenido</w:t>
      </w:r>
      <w:r w:rsidR="002D69D6">
        <w:rPr>
          <w:rFonts w:ascii="Arial" w:hAnsi="Arial" w:cs="Arial"/>
          <w:sz w:val="24"/>
          <w:szCs w:val="24"/>
        </w:rPr>
        <w:t>s</w:t>
      </w:r>
      <w:r w:rsidRPr="002568E8">
        <w:rPr>
          <w:rFonts w:ascii="Arial" w:hAnsi="Arial" w:cs="Arial"/>
          <w:sz w:val="24"/>
          <w:szCs w:val="24"/>
        </w:rPr>
        <w:t xml:space="preserve"> fueron los siguientes:</w:t>
      </w:r>
      <w:r w:rsidR="004606F7" w:rsidRPr="002568E8">
        <w:rPr>
          <w:rFonts w:ascii="Arial" w:hAnsi="Arial" w:cs="Arial"/>
          <w:sz w:val="24"/>
          <w:szCs w:val="24"/>
        </w:rPr>
        <w:t xml:space="preserve"> </w:t>
      </w:r>
      <w:r w:rsidR="005E0D54" w:rsidRPr="002568E8">
        <w:rPr>
          <w:rFonts w:ascii="Arial" w:hAnsi="Arial" w:cs="Arial"/>
          <w:sz w:val="24"/>
          <w:szCs w:val="24"/>
        </w:rPr>
        <w:t>e</w:t>
      </w:r>
      <w:r w:rsidRPr="002568E8">
        <w:rPr>
          <w:rFonts w:ascii="Arial" w:hAnsi="Arial" w:cs="Arial"/>
          <w:sz w:val="24"/>
          <w:szCs w:val="24"/>
        </w:rPr>
        <w:t xml:space="preserve">l 38% (73) manifestó tener problemas relacionados con la metodología de estudio, el 16% (31) problemas laborales que impiden dedicarle </w:t>
      </w:r>
      <w:r w:rsidRPr="002568E8">
        <w:rPr>
          <w:rFonts w:ascii="Arial" w:hAnsi="Arial" w:cs="Arial"/>
          <w:sz w:val="24"/>
          <w:szCs w:val="24"/>
        </w:rPr>
        <w:lastRenderedPageBreak/>
        <w:t>el tiempo necesario al estudio. El 12% (24) expresó tener dudas respecto a la carrera elegida y algunos informaron el cambio d</w:t>
      </w:r>
      <w:r w:rsidR="00BD7B36">
        <w:rPr>
          <w:rFonts w:ascii="Arial" w:hAnsi="Arial" w:cs="Arial"/>
          <w:sz w:val="24"/>
          <w:szCs w:val="24"/>
        </w:rPr>
        <w:t xml:space="preserve">e carrera, de </w:t>
      </w:r>
      <w:r w:rsidRPr="002568E8">
        <w:rPr>
          <w:rFonts w:ascii="Arial" w:hAnsi="Arial" w:cs="Arial"/>
          <w:sz w:val="24"/>
          <w:szCs w:val="24"/>
        </w:rPr>
        <w:t>departamento</w:t>
      </w:r>
      <w:r w:rsidR="00BD7B36">
        <w:rPr>
          <w:rFonts w:ascii="Arial" w:hAnsi="Arial" w:cs="Arial"/>
          <w:sz w:val="24"/>
          <w:szCs w:val="24"/>
        </w:rPr>
        <w:t xml:space="preserve"> e incluso de universidad (12)</w:t>
      </w:r>
      <w:r w:rsidRPr="002568E8">
        <w:rPr>
          <w:rFonts w:ascii="Arial" w:hAnsi="Arial" w:cs="Arial"/>
          <w:sz w:val="24"/>
          <w:szCs w:val="24"/>
        </w:rPr>
        <w:t>. El 9% (17) señaló tener problemas familiares, el 6% (12) hace alusión al desconocimiento del régimen universitario, el 5% (9) por motivos económicos y el 14% (28) puntualiza otros motivos.</w:t>
      </w:r>
      <w:r w:rsidR="00564BCE">
        <w:rPr>
          <w:rFonts w:ascii="Arial" w:hAnsi="Arial" w:cs="Arial"/>
          <w:sz w:val="24"/>
          <w:szCs w:val="24"/>
        </w:rPr>
        <w:t xml:space="preserve"> </w:t>
      </w:r>
      <w:r w:rsidR="008F5F9B" w:rsidRPr="008F5F9B">
        <w:rPr>
          <w:rFonts w:ascii="Arial" w:hAnsi="Arial" w:cs="Arial"/>
          <w:sz w:val="24"/>
          <w:szCs w:val="24"/>
        </w:rPr>
        <w:t xml:space="preserve">En </w:t>
      </w:r>
      <w:r w:rsidR="00894A2B">
        <w:rPr>
          <w:rFonts w:ascii="Arial" w:hAnsi="Arial" w:cs="Arial"/>
          <w:sz w:val="24"/>
          <w:szCs w:val="24"/>
        </w:rPr>
        <w:t>el</w:t>
      </w:r>
      <w:r w:rsidR="008F5F9B" w:rsidRPr="008F5F9B">
        <w:rPr>
          <w:rFonts w:ascii="Arial" w:hAnsi="Arial" w:cs="Arial"/>
          <w:sz w:val="24"/>
          <w:szCs w:val="24"/>
        </w:rPr>
        <w:t xml:space="preserve"> cuadro</w:t>
      </w:r>
      <w:r w:rsidR="00894A2B">
        <w:rPr>
          <w:rFonts w:ascii="Arial" w:hAnsi="Arial" w:cs="Arial"/>
          <w:sz w:val="24"/>
          <w:szCs w:val="24"/>
        </w:rPr>
        <w:t xml:space="preserve"> 1</w:t>
      </w:r>
      <w:r w:rsidR="008F5F9B" w:rsidRPr="008F5F9B">
        <w:rPr>
          <w:rFonts w:ascii="Arial" w:hAnsi="Arial" w:cs="Arial"/>
          <w:sz w:val="24"/>
          <w:szCs w:val="24"/>
        </w:rPr>
        <w:t xml:space="preserve"> se sintetizan los resultados cuantitativos obtenidos</w:t>
      </w:r>
      <w:r w:rsidR="00BD7B36">
        <w:rPr>
          <w:rFonts w:ascii="Arial" w:hAnsi="Arial" w:cs="Arial"/>
          <w:sz w:val="24"/>
          <w:szCs w:val="24"/>
        </w:rPr>
        <w:t xml:space="preserve"> de la intervención</w:t>
      </w:r>
      <w:r w:rsidR="008F5F9B" w:rsidRPr="008F5F9B">
        <w:rPr>
          <w:rFonts w:ascii="Arial" w:hAnsi="Arial" w:cs="Arial"/>
          <w:sz w:val="24"/>
          <w:szCs w:val="24"/>
        </w:rPr>
        <w:t xml:space="preserve"> en todas las carreras</w:t>
      </w:r>
      <w:r w:rsidR="008F5F9B">
        <w:rPr>
          <w:rFonts w:ascii="Arial" w:hAnsi="Arial" w:cs="Arial"/>
          <w:sz w:val="24"/>
          <w:szCs w:val="24"/>
        </w:rPr>
        <w:t xml:space="preserve"> del departamento</w:t>
      </w:r>
      <w:r w:rsidR="008F5F9B" w:rsidRPr="008F5F9B">
        <w:rPr>
          <w:rFonts w:ascii="Arial" w:hAnsi="Arial" w:cs="Arial"/>
          <w:sz w:val="24"/>
          <w:szCs w:val="24"/>
        </w:rPr>
        <w:t>.</w:t>
      </w:r>
    </w:p>
    <w:p w:rsidR="00C42ACF" w:rsidRDefault="00C42ACF" w:rsidP="008F5F9B">
      <w:pPr>
        <w:rPr>
          <w:rFonts w:ascii="Arial" w:hAnsi="Arial" w:cs="Arial"/>
          <w:b/>
        </w:rPr>
      </w:pPr>
    </w:p>
    <w:p w:rsidR="00057655" w:rsidRDefault="00057655" w:rsidP="00057655">
      <w:pPr>
        <w:jc w:val="center"/>
        <w:rPr>
          <w:rFonts w:ascii="Arial" w:hAnsi="Arial" w:cs="Arial"/>
          <w:b/>
        </w:rPr>
      </w:pPr>
      <w:r>
        <w:rPr>
          <w:rFonts w:ascii="Arial" w:hAnsi="Arial" w:cs="Arial"/>
          <w:b/>
        </w:rPr>
        <w:t>SÍNTESIS</w:t>
      </w:r>
      <w:r w:rsidR="003209A5">
        <w:rPr>
          <w:rFonts w:ascii="Arial" w:hAnsi="Arial" w:cs="Arial"/>
          <w:b/>
        </w:rPr>
        <w:t xml:space="preserve"> DE DATOS CUANTITATIVOS</w:t>
      </w:r>
      <w:r>
        <w:rPr>
          <w:rFonts w:ascii="Arial" w:hAnsi="Arial" w:cs="Arial"/>
          <w:b/>
        </w:rPr>
        <w:t xml:space="preserve"> </w:t>
      </w:r>
    </w:p>
    <w:p w:rsidR="0035480F" w:rsidRDefault="0035480F" w:rsidP="004B21E7">
      <w:pPr>
        <w:jc w:val="center"/>
        <w:rPr>
          <w:rFonts w:ascii="Arial" w:hAnsi="Arial" w:cs="Arial"/>
          <w:b/>
        </w:rPr>
      </w:pPr>
    </w:p>
    <w:tbl>
      <w:tblPr>
        <w:tblStyle w:val="Cuadrculaclara-nfasis11"/>
        <w:tblW w:w="9430" w:type="dxa"/>
        <w:jc w:val="center"/>
        <w:tblInd w:w="185" w:type="dxa"/>
        <w:tblLayout w:type="fixed"/>
        <w:tblLook w:val="04A0"/>
      </w:tblPr>
      <w:tblGrid>
        <w:gridCol w:w="2473"/>
        <w:gridCol w:w="567"/>
        <w:gridCol w:w="567"/>
        <w:gridCol w:w="567"/>
        <w:gridCol w:w="720"/>
        <w:gridCol w:w="697"/>
        <w:gridCol w:w="709"/>
        <w:gridCol w:w="708"/>
        <w:gridCol w:w="851"/>
        <w:gridCol w:w="862"/>
        <w:gridCol w:w="709"/>
      </w:tblGrid>
      <w:tr w:rsidR="0035480F" w:rsidTr="008F5F9B">
        <w:trPr>
          <w:cnfStyle w:val="100000000000"/>
          <w:jc w:val="center"/>
        </w:trPr>
        <w:tc>
          <w:tcPr>
            <w:cnfStyle w:val="001000000000"/>
            <w:tcW w:w="2473" w:type="dxa"/>
            <w:vMerge w:val="restart"/>
            <w:tcBorders>
              <w:top w:val="single" w:sz="18" w:space="0" w:color="4F81BD" w:themeColor="accent1"/>
              <w:left w:val="single" w:sz="18" w:space="0" w:color="4F81BD" w:themeColor="accent1"/>
              <w:right w:val="single" w:sz="18" w:space="0" w:color="4F81BD" w:themeColor="accent1"/>
            </w:tcBorders>
            <w:shd w:val="clear" w:color="auto" w:fill="1F497D" w:themeFill="text2"/>
          </w:tcPr>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Pr="001D27C1" w:rsidRDefault="0035480F" w:rsidP="003400B5">
            <w:pPr>
              <w:jc w:val="center"/>
              <w:rPr>
                <w:rFonts w:ascii="Verdana" w:hAnsi="Verdana"/>
                <w:color w:val="FFFFFF" w:themeColor="background1"/>
              </w:rPr>
            </w:pPr>
            <w:r w:rsidRPr="001D27C1">
              <w:rPr>
                <w:rFonts w:ascii="Verdana" w:hAnsi="Verdana"/>
                <w:color w:val="FFFFFF" w:themeColor="background1"/>
              </w:rPr>
              <w:t>CARRERAS</w:t>
            </w: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Default="0035480F" w:rsidP="003400B5">
            <w:pPr>
              <w:jc w:val="center"/>
              <w:rPr>
                <w:rFonts w:ascii="Verdana" w:hAnsi="Verdana"/>
              </w:rPr>
            </w:pPr>
          </w:p>
          <w:p w:rsidR="0035480F" w:rsidRPr="009D1566" w:rsidRDefault="0035480F" w:rsidP="003400B5">
            <w:pPr>
              <w:jc w:val="center"/>
              <w:rPr>
                <w:rFonts w:ascii="Verdana" w:hAnsi="Verdana"/>
              </w:rPr>
            </w:pPr>
          </w:p>
        </w:tc>
        <w:tc>
          <w:tcPr>
            <w:tcW w:w="567" w:type="dxa"/>
            <w:vMerge w:val="restart"/>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DBE5F1" w:themeFill="accent1" w:themeFillTint="33"/>
            <w:textDirection w:val="btLr"/>
          </w:tcPr>
          <w:p w:rsidR="0035480F" w:rsidRDefault="0035480F" w:rsidP="003400B5">
            <w:pPr>
              <w:ind w:left="113" w:right="113"/>
              <w:jc w:val="center"/>
              <w:cnfStyle w:val="100000000000"/>
              <w:rPr>
                <w:rFonts w:ascii="Verdana" w:hAnsi="Verdana"/>
                <w:b w:val="0"/>
                <w:sz w:val="16"/>
                <w:szCs w:val="16"/>
              </w:rPr>
            </w:pPr>
          </w:p>
          <w:p w:rsidR="0035480F" w:rsidRPr="00D7733C" w:rsidRDefault="0035480F" w:rsidP="003400B5">
            <w:pPr>
              <w:ind w:left="113" w:right="113"/>
              <w:jc w:val="center"/>
              <w:cnfStyle w:val="100000000000"/>
              <w:rPr>
                <w:rFonts w:ascii="Verdana" w:hAnsi="Verdana"/>
                <w:b w:val="0"/>
                <w:sz w:val="16"/>
                <w:szCs w:val="16"/>
              </w:rPr>
            </w:pPr>
            <w:r w:rsidRPr="00D7733C">
              <w:rPr>
                <w:rFonts w:ascii="Verdana" w:hAnsi="Verdana"/>
                <w:b w:val="0"/>
                <w:sz w:val="16"/>
                <w:szCs w:val="16"/>
              </w:rPr>
              <w:t>CANTIDAD DE ALUMNOS</w:t>
            </w:r>
          </w:p>
        </w:tc>
        <w:tc>
          <w:tcPr>
            <w:tcW w:w="567"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extDirection w:val="btLr"/>
          </w:tcPr>
          <w:p w:rsidR="0035480F" w:rsidRPr="00D7733C" w:rsidRDefault="0035480F" w:rsidP="003400B5">
            <w:pPr>
              <w:ind w:left="113" w:right="113"/>
              <w:jc w:val="center"/>
              <w:cnfStyle w:val="100000000000"/>
              <w:rPr>
                <w:rFonts w:ascii="Verdana" w:hAnsi="Verdana"/>
                <w:b w:val="0"/>
                <w:sz w:val="16"/>
                <w:szCs w:val="16"/>
              </w:rPr>
            </w:pPr>
            <w:r w:rsidRPr="00D7733C">
              <w:rPr>
                <w:rFonts w:ascii="Verdana" w:hAnsi="Verdana"/>
                <w:b w:val="0"/>
                <w:sz w:val="16"/>
                <w:szCs w:val="16"/>
              </w:rPr>
              <w:t>RESPONDIERON</w:t>
            </w:r>
          </w:p>
          <w:p w:rsidR="0035480F" w:rsidRPr="00D7733C" w:rsidRDefault="0035480F" w:rsidP="003400B5">
            <w:pPr>
              <w:ind w:left="113" w:right="113"/>
              <w:jc w:val="center"/>
              <w:cnfStyle w:val="100000000000"/>
              <w:rPr>
                <w:rFonts w:ascii="Verdana" w:hAnsi="Verdana"/>
                <w:b w:val="0"/>
                <w:sz w:val="16"/>
                <w:szCs w:val="16"/>
              </w:rPr>
            </w:pPr>
          </w:p>
          <w:p w:rsidR="0035480F" w:rsidRPr="00D7733C" w:rsidRDefault="0035480F" w:rsidP="003400B5">
            <w:pPr>
              <w:ind w:left="113" w:right="113"/>
              <w:jc w:val="center"/>
              <w:cnfStyle w:val="100000000000"/>
              <w:rPr>
                <w:rFonts w:ascii="Verdana" w:hAnsi="Verdana"/>
                <w:b w:val="0"/>
                <w:sz w:val="16"/>
                <w:szCs w:val="16"/>
              </w:rPr>
            </w:pPr>
          </w:p>
        </w:tc>
        <w:tc>
          <w:tcPr>
            <w:tcW w:w="567"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extDirection w:val="btLr"/>
          </w:tcPr>
          <w:p w:rsidR="0035480F" w:rsidRPr="00D7733C" w:rsidRDefault="0035480F" w:rsidP="003400B5">
            <w:pPr>
              <w:ind w:left="113" w:right="113"/>
              <w:jc w:val="center"/>
              <w:cnfStyle w:val="100000000000"/>
              <w:rPr>
                <w:rFonts w:ascii="Verdana" w:hAnsi="Verdana"/>
                <w:b w:val="0"/>
                <w:sz w:val="16"/>
                <w:szCs w:val="16"/>
              </w:rPr>
            </w:pPr>
            <w:r w:rsidRPr="00D7733C">
              <w:rPr>
                <w:rFonts w:ascii="Verdana" w:hAnsi="Verdana"/>
                <w:b w:val="0"/>
                <w:sz w:val="16"/>
                <w:szCs w:val="16"/>
              </w:rPr>
              <w:t>SIN RESPONDER</w:t>
            </w:r>
          </w:p>
          <w:p w:rsidR="0035480F" w:rsidRPr="00D7733C" w:rsidRDefault="0035480F" w:rsidP="003400B5">
            <w:pPr>
              <w:ind w:left="113" w:right="113"/>
              <w:jc w:val="center"/>
              <w:cnfStyle w:val="100000000000"/>
              <w:rPr>
                <w:rFonts w:ascii="Verdana" w:hAnsi="Verdana"/>
                <w:b w:val="0"/>
                <w:sz w:val="16"/>
                <w:szCs w:val="16"/>
              </w:rPr>
            </w:pPr>
          </w:p>
          <w:p w:rsidR="0035480F" w:rsidRPr="00D7733C" w:rsidRDefault="0035480F" w:rsidP="003400B5">
            <w:pPr>
              <w:ind w:left="113" w:right="113"/>
              <w:jc w:val="center"/>
              <w:cnfStyle w:val="100000000000"/>
              <w:rPr>
                <w:rFonts w:ascii="Verdana" w:hAnsi="Verdana"/>
                <w:b w:val="0"/>
                <w:sz w:val="16"/>
                <w:szCs w:val="16"/>
              </w:rPr>
            </w:pPr>
          </w:p>
        </w:tc>
        <w:tc>
          <w:tcPr>
            <w:tcW w:w="5256" w:type="dxa"/>
            <w:gridSpan w:val="7"/>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tcPr>
          <w:p w:rsidR="0035480F" w:rsidRDefault="0035480F" w:rsidP="003400B5">
            <w:pPr>
              <w:jc w:val="center"/>
              <w:cnfStyle w:val="100000000000"/>
              <w:rPr>
                <w:rFonts w:ascii="Verdana" w:hAnsi="Verdana"/>
                <w:b w:val="0"/>
                <w:sz w:val="24"/>
                <w:szCs w:val="24"/>
              </w:rPr>
            </w:pPr>
          </w:p>
          <w:p w:rsidR="0035480F" w:rsidRPr="001D27C1" w:rsidRDefault="0035480F" w:rsidP="003400B5">
            <w:pPr>
              <w:jc w:val="center"/>
              <w:cnfStyle w:val="100000000000"/>
              <w:rPr>
                <w:rFonts w:ascii="Verdana" w:hAnsi="Verdana"/>
                <w:color w:val="FFFFFF" w:themeColor="background1"/>
                <w:sz w:val="16"/>
                <w:szCs w:val="16"/>
              </w:rPr>
            </w:pPr>
            <w:r w:rsidRPr="001D27C1">
              <w:rPr>
                <w:rFonts w:ascii="Verdana" w:hAnsi="Verdana"/>
                <w:color w:val="FFFFFF" w:themeColor="background1"/>
                <w:sz w:val="16"/>
                <w:szCs w:val="16"/>
              </w:rPr>
              <w:t>CAUSAS DE ALUMNOS</w:t>
            </w:r>
            <w:r>
              <w:rPr>
                <w:rFonts w:ascii="Verdana" w:hAnsi="Verdana"/>
                <w:color w:val="FFFFFF" w:themeColor="background1"/>
                <w:sz w:val="16"/>
                <w:szCs w:val="16"/>
              </w:rPr>
              <w:t xml:space="preserve"> EN SITUACIÓN DE RIESGO PEDAGÓ</w:t>
            </w:r>
            <w:r w:rsidRPr="001D27C1">
              <w:rPr>
                <w:rFonts w:ascii="Verdana" w:hAnsi="Verdana"/>
                <w:color w:val="FFFFFF" w:themeColor="background1"/>
                <w:sz w:val="16"/>
                <w:szCs w:val="16"/>
              </w:rPr>
              <w:t>GICO</w:t>
            </w:r>
            <w:r w:rsidR="00564BCE">
              <w:rPr>
                <w:rStyle w:val="Refdenotaalpie"/>
                <w:rFonts w:ascii="Verdana" w:hAnsi="Verdana"/>
                <w:color w:val="FFFFFF" w:themeColor="background1"/>
                <w:sz w:val="16"/>
                <w:szCs w:val="16"/>
              </w:rPr>
              <w:footnoteReference w:id="4"/>
            </w:r>
          </w:p>
        </w:tc>
      </w:tr>
      <w:tr w:rsidR="000C0585" w:rsidTr="008F5F9B">
        <w:trPr>
          <w:cnfStyle w:val="000000100000"/>
          <w:trHeight w:val="2071"/>
          <w:jc w:val="center"/>
        </w:trPr>
        <w:tc>
          <w:tcPr>
            <w:cnfStyle w:val="001000000000"/>
            <w:tcW w:w="2473" w:type="dxa"/>
            <w:vMerge/>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1F497D" w:themeFill="text2"/>
          </w:tcPr>
          <w:p w:rsidR="0035480F" w:rsidRDefault="0035480F" w:rsidP="003400B5">
            <w:pPr>
              <w:jc w:val="center"/>
              <w:rPr>
                <w:rFonts w:ascii="Verdana" w:hAnsi="Verdana"/>
              </w:rPr>
            </w:pPr>
          </w:p>
        </w:tc>
        <w:tc>
          <w:tcPr>
            <w:tcW w:w="567" w:type="dxa"/>
            <w:vMerge/>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DBE5F1" w:themeFill="accent1" w:themeFillTint="33"/>
          </w:tcPr>
          <w:p w:rsidR="0035480F" w:rsidRPr="00A15F10" w:rsidRDefault="0035480F" w:rsidP="003400B5">
            <w:pPr>
              <w:jc w:val="center"/>
              <w:cnfStyle w:val="000000100000"/>
              <w:rPr>
                <w:rFonts w:ascii="Verdana" w:hAnsi="Verdana"/>
              </w:rPr>
            </w:pPr>
          </w:p>
        </w:tc>
        <w:tc>
          <w:tcPr>
            <w:tcW w:w="567" w:type="dxa"/>
            <w:vMerge/>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35480F" w:rsidRDefault="0035480F" w:rsidP="003400B5">
            <w:pPr>
              <w:jc w:val="center"/>
              <w:cnfStyle w:val="000000100000"/>
              <w:rPr>
                <w:rFonts w:ascii="Verdana" w:hAnsi="Verdana"/>
                <w:b/>
                <w:sz w:val="24"/>
                <w:szCs w:val="24"/>
              </w:rPr>
            </w:pPr>
          </w:p>
        </w:tc>
        <w:tc>
          <w:tcPr>
            <w:tcW w:w="567" w:type="dxa"/>
            <w:vMerge/>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35480F" w:rsidRDefault="0035480F" w:rsidP="003400B5">
            <w:pPr>
              <w:jc w:val="center"/>
              <w:cnfStyle w:val="000000100000"/>
              <w:rPr>
                <w:rFonts w:ascii="Verdana" w:hAnsi="Verdana"/>
                <w:b/>
                <w:sz w:val="24"/>
                <w:szCs w:val="24"/>
              </w:rPr>
            </w:pPr>
          </w:p>
        </w:tc>
        <w:tc>
          <w:tcPr>
            <w:tcW w:w="7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b/>
                <w:sz w:val="24"/>
                <w:szCs w:val="24"/>
              </w:rPr>
            </w:pPr>
          </w:p>
          <w:p w:rsidR="0035480F" w:rsidRDefault="0035480F" w:rsidP="003400B5">
            <w:pPr>
              <w:ind w:left="113" w:right="113"/>
              <w:jc w:val="center"/>
              <w:cnfStyle w:val="000000100000"/>
              <w:rPr>
                <w:rFonts w:ascii="Verdana" w:hAnsi="Verdana"/>
                <w:b/>
                <w:sz w:val="24"/>
                <w:szCs w:val="24"/>
              </w:rPr>
            </w:pPr>
          </w:p>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cnfStyle w:val="000000100000"/>
              <w:rPr>
                <w:rFonts w:ascii="Verdana" w:hAnsi="Verdana"/>
                <w:sz w:val="16"/>
                <w:szCs w:val="16"/>
              </w:rPr>
            </w:pPr>
          </w:p>
          <w:p w:rsidR="0035480F" w:rsidRDefault="0035480F" w:rsidP="003400B5">
            <w:pPr>
              <w:ind w:left="113" w:right="113"/>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p>
          <w:p w:rsidR="0035480F" w:rsidRPr="00E75D3F" w:rsidRDefault="0035480F" w:rsidP="003400B5">
            <w:pPr>
              <w:ind w:left="113" w:right="113"/>
              <w:jc w:val="center"/>
              <w:cnfStyle w:val="000000100000"/>
              <w:rPr>
                <w:rFonts w:ascii="Verdana" w:hAnsi="Verdana"/>
                <w:sz w:val="16"/>
                <w:szCs w:val="16"/>
              </w:rPr>
            </w:pPr>
            <w:r w:rsidRPr="00E75D3F">
              <w:rPr>
                <w:rFonts w:ascii="Verdana" w:hAnsi="Verdana"/>
                <w:sz w:val="16"/>
                <w:szCs w:val="16"/>
              </w:rPr>
              <w:t>Dificultades en la metodología de estudio</w:t>
            </w:r>
          </w:p>
        </w:tc>
        <w:tc>
          <w:tcPr>
            <w:tcW w:w="6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p>
          <w:p w:rsidR="0035480F" w:rsidRPr="00E75D3F" w:rsidRDefault="0035480F" w:rsidP="003400B5">
            <w:pPr>
              <w:ind w:left="113" w:right="113"/>
              <w:jc w:val="center"/>
              <w:cnfStyle w:val="000000100000"/>
              <w:rPr>
                <w:rFonts w:ascii="Verdana" w:hAnsi="Verdana"/>
                <w:sz w:val="16"/>
                <w:szCs w:val="16"/>
              </w:rPr>
            </w:pPr>
            <w:r w:rsidRPr="00E75D3F">
              <w:rPr>
                <w:rFonts w:ascii="Verdana" w:hAnsi="Verdana"/>
                <w:sz w:val="16"/>
                <w:szCs w:val="16"/>
              </w:rPr>
              <w:t>Lo laboral</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r w:rsidRPr="00E75D3F">
              <w:rPr>
                <w:rFonts w:ascii="Verdana" w:hAnsi="Verdana"/>
                <w:sz w:val="16"/>
                <w:szCs w:val="16"/>
              </w:rPr>
              <w:t>Lo económico</w:t>
            </w:r>
          </w:p>
          <w:p w:rsidR="0035480F" w:rsidRPr="00E75D3F" w:rsidRDefault="0035480F" w:rsidP="003400B5">
            <w:pPr>
              <w:ind w:left="113" w:right="113"/>
              <w:jc w:val="center"/>
              <w:cnfStyle w:val="000000100000"/>
              <w:rPr>
                <w:rFonts w:ascii="Verdana" w:hAnsi="Verdana"/>
                <w:sz w:val="16"/>
                <w:szCs w:val="16"/>
              </w:rP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sz w:val="16"/>
                <w:szCs w:val="16"/>
              </w:rPr>
            </w:pPr>
            <w:r>
              <w:rPr>
                <w:rFonts w:ascii="Verdana" w:hAnsi="Verdana"/>
                <w:sz w:val="16"/>
                <w:szCs w:val="16"/>
              </w:rPr>
              <w:t>Lo familiar</w:t>
            </w:r>
          </w:p>
          <w:p w:rsidR="0035480F" w:rsidRPr="00E75D3F" w:rsidRDefault="0035480F" w:rsidP="003400B5">
            <w:pPr>
              <w:ind w:left="113" w:right="113"/>
              <w:jc w:val="center"/>
              <w:cnfStyle w:val="000000100000"/>
              <w:rPr>
                <w:rFonts w:ascii="Verdana" w:hAnsi="Verdana"/>
                <w:sz w:val="16"/>
                <w:szCs w:val="16"/>
              </w:rPr>
            </w:pP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sz w:val="16"/>
                <w:szCs w:val="16"/>
              </w:rPr>
            </w:pPr>
            <w:r w:rsidRPr="00E75D3F">
              <w:rPr>
                <w:rFonts w:ascii="Verdana" w:hAnsi="Verdana"/>
                <w:sz w:val="16"/>
                <w:szCs w:val="16"/>
              </w:rPr>
              <w:t>Dudas vocacionales</w:t>
            </w:r>
          </w:p>
          <w:p w:rsidR="0035480F" w:rsidRPr="00E75D3F" w:rsidRDefault="0035480F" w:rsidP="003400B5">
            <w:pPr>
              <w:ind w:left="113" w:right="113"/>
              <w:jc w:val="center"/>
              <w:cnfStyle w:val="000000100000"/>
              <w:rPr>
                <w:rFonts w:ascii="Verdana" w:hAnsi="Verdana"/>
                <w:sz w:val="16"/>
                <w:szCs w:val="16"/>
              </w:rPr>
            </w:pPr>
            <w:r w:rsidRPr="00E75D3F">
              <w:rPr>
                <w:rFonts w:ascii="Verdana" w:hAnsi="Verdana"/>
                <w:sz w:val="16"/>
                <w:szCs w:val="16"/>
              </w:rPr>
              <w:t>/Cambio de carrera</w:t>
            </w:r>
          </w:p>
        </w:tc>
        <w:tc>
          <w:tcPr>
            <w:tcW w:w="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sz w:val="16"/>
                <w:szCs w:val="16"/>
              </w:rPr>
            </w:pPr>
          </w:p>
          <w:p w:rsidR="0035480F" w:rsidRDefault="0035480F" w:rsidP="003400B5">
            <w:pPr>
              <w:ind w:left="113" w:right="113"/>
              <w:jc w:val="center"/>
              <w:cnfStyle w:val="000000100000"/>
              <w:rPr>
                <w:rFonts w:ascii="Verdana" w:hAnsi="Verdana"/>
                <w:sz w:val="16"/>
                <w:szCs w:val="16"/>
              </w:rPr>
            </w:pPr>
          </w:p>
          <w:p w:rsidR="0035480F" w:rsidRPr="00E75D3F" w:rsidRDefault="0035480F" w:rsidP="003400B5">
            <w:pPr>
              <w:ind w:left="113" w:right="113"/>
              <w:jc w:val="center"/>
              <w:cnfStyle w:val="000000100000"/>
              <w:rPr>
                <w:rFonts w:ascii="Verdana" w:hAnsi="Verdana"/>
                <w:sz w:val="16"/>
                <w:szCs w:val="16"/>
              </w:rPr>
            </w:pPr>
            <w:r w:rsidRPr="00E75D3F">
              <w:rPr>
                <w:rFonts w:ascii="Verdana" w:hAnsi="Verdana"/>
                <w:sz w:val="16"/>
                <w:szCs w:val="16"/>
              </w:rPr>
              <w:t>Desconocimiento del régimen universitario</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extDirection w:val="tbRl"/>
            <w:vAlign w:val="bottom"/>
          </w:tcPr>
          <w:p w:rsidR="0035480F" w:rsidRDefault="0035480F" w:rsidP="003400B5">
            <w:pPr>
              <w:ind w:left="113" w:right="113"/>
              <w:jc w:val="center"/>
              <w:cnfStyle w:val="000000100000"/>
              <w:rPr>
                <w:rFonts w:ascii="Verdana" w:hAnsi="Verdana"/>
                <w:sz w:val="16"/>
                <w:szCs w:val="16"/>
              </w:rPr>
            </w:pPr>
          </w:p>
          <w:p w:rsidR="0035480F" w:rsidRPr="00E75D3F" w:rsidRDefault="0035480F" w:rsidP="003400B5">
            <w:pPr>
              <w:ind w:left="113" w:right="113"/>
              <w:jc w:val="center"/>
              <w:cnfStyle w:val="000000100000"/>
              <w:rPr>
                <w:rFonts w:ascii="Verdana" w:hAnsi="Verdana"/>
                <w:sz w:val="16"/>
                <w:szCs w:val="16"/>
              </w:rPr>
            </w:pPr>
            <w:r w:rsidRPr="00E75D3F">
              <w:rPr>
                <w:rFonts w:ascii="Verdana" w:hAnsi="Verdana"/>
                <w:sz w:val="16"/>
                <w:szCs w:val="16"/>
              </w:rPr>
              <w:t>Otros motivos</w:t>
            </w:r>
          </w:p>
        </w:tc>
      </w:tr>
      <w:tr w:rsidR="0035480F" w:rsidTr="008F5F9B">
        <w:trPr>
          <w:cnfStyle w:val="000000010000"/>
          <w:jc w:val="center"/>
        </w:trPr>
        <w:tc>
          <w:tcPr>
            <w:cnfStyle w:val="001000000000"/>
            <w:tcW w:w="2473" w:type="dxa"/>
            <w:tcBorders>
              <w:top w:val="single" w:sz="18" w:space="0" w:color="4F81BD" w:themeColor="accent1"/>
              <w:left w:val="single" w:sz="12" w:space="0" w:color="4F81BD" w:themeColor="accent1"/>
              <w:bottom w:val="single" w:sz="12" w:space="0" w:color="4F81BD" w:themeColor="accent1"/>
              <w:right w:val="single" w:sz="12" w:space="0" w:color="4F81BD" w:themeColor="accent1"/>
            </w:tcBorders>
          </w:tcPr>
          <w:p w:rsidR="0035480F" w:rsidRDefault="0035480F" w:rsidP="003400B5">
            <w:pPr>
              <w:rPr>
                <w:rFonts w:ascii="Verdana" w:hAnsi="Verdana"/>
                <w:i/>
                <w:sz w:val="16"/>
                <w:szCs w:val="16"/>
              </w:rPr>
            </w:pPr>
          </w:p>
          <w:p w:rsidR="0035480F" w:rsidRPr="001D27C1" w:rsidRDefault="0035480F" w:rsidP="003400B5">
            <w:pPr>
              <w:rPr>
                <w:rFonts w:ascii="Verdana" w:hAnsi="Verdana"/>
                <w:b w:val="0"/>
                <w:i/>
                <w:sz w:val="16"/>
                <w:szCs w:val="16"/>
              </w:rPr>
            </w:pPr>
            <w:r w:rsidRPr="001D27C1">
              <w:rPr>
                <w:rFonts w:ascii="Verdana" w:hAnsi="Verdana"/>
                <w:i/>
                <w:sz w:val="16"/>
                <w:szCs w:val="16"/>
              </w:rPr>
              <w:t>Contador Público</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257</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169</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88</w:t>
            </w:r>
          </w:p>
        </w:tc>
        <w:tc>
          <w:tcPr>
            <w:tcW w:w="7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73</w:t>
            </w:r>
          </w:p>
        </w:tc>
        <w:tc>
          <w:tcPr>
            <w:tcW w:w="6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31</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9</w:t>
            </w: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17</w:t>
            </w: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24</w:t>
            </w:r>
          </w:p>
        </w:tc>
        <w:tc>
          <w:tcPr>
            <w:tcW w:w="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12</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28</w:t>
            </w:r>
          </w:p>
        </w:tc>
      </w:tr>
      <w:tr w:rsidR="000C0585" w:rsidTr="008F5F9B">
        <w:trPr>
          <w:cnfStyle w:val="000000100000"/>
          <w:jc w:val="center"/>
        </w:trPr>
        <w:tc>
          <w:tcPr>
            <w:cnfStyle w:val="001000000000"/>
            <w:tcW w:w="247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1D27C1" w:rsidRDefault="0035480F" w:rsidP="003400B5">
            <w:pPr>
              <w:rPr>
                <w:rFonts w:ascii="Verdana" w:hAnsi="Verdana"/>
                <w:b w:val="0"/>
                <w:i/>
                <w:sz w:val="16"/>
                <w:szCs w:val="16"/>
              </w:rPr>
            </w:pPr>
            <w:r w:rsidRPr="001D27C1">
              <w:rPr>
                <w:rFonts w:ascii="Verdana" w:hAnsi="Verdana"/>
                <w:i/>
                <w:sz w:val="16"/>
                <w:szCs w:val="16"/>
              </w:rPr>
              <w:t>Licenciatura en Administración</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126</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103</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23</w:t>
            </w:r>
          </w:p>
        </w:tc>
        <w:tc>
          <w:tcPr>
            <w:tcW w:w="7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44</w:t>
            </w:r>
          </w:p>
        </w:tc>
        <w:tc>
          <w:tcPr>
            <w:tcW w:w="6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12</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6</w:t>
            </w: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3</w:t>
            </w: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19</w:t>
            </w:r>
          </w:p>
        </w:tc>
        <w:tc>
          <w:tcPr>
            <w:tcW w:w="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10</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22</w:t>
            </w:r>
          </w:p>
        </w:tc>
      </w:tr>
      <w:tr w:rsidR="0035480F" w:rsidTr="008F5F9B">
        <w:trPr>
          <w:cnfStyle w:val="000000010000"/>
          <w:jc w:val="center"/>
        </w:trPr>
        <w:tc>
          <w:tcPr>
            <w:cnfStyle w:val="001000000000"/>
            <w:tcW w:w="247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1D27C1" w:rsidRDefault="0035480F" w:rsidP="003400B5">
            <w:pPr>
              <w:rPr>
                <w:rFonts w:ascii="Verdana" w:hAnsi="Verdana"/>
                <w:i/>
                <w:sz w:val="16"/>
                <w:szCs w:val="16"/>
              </w:rPr>
            </w:pPr>
            <w:r w:rsidRPr="001D27C1">
              <w:rPr>
                <w:rFonts w:ascii="Verdana" w:hAnsi="Verdana"/>
                <w:i/>
                <w:sz w:val="16"/>
                <w:szCs w:val="16"/>
              </w:rPr>
              <w:t>Licenciatura en</w:t>
            </w:r>
          </w:p>
          <w:p w:rsidR="0035480F" w:rsidRPr="001D27C1" w:rsidRDefault="0035480F" w:rsidP="003400B5">
            <w:pPr>
              <w:rPr>
                <w:rFonts w:ascii="Verdana" w:hAnsi="Verdana"/>
                <w:b w:val="0"/>
                <w:i/>
                <w:sz w:val="16"/>
                <w:szCs w:val="16"/>
              </w:rPr>
            </w:pPr>
            <w:r w:rsidRPr="001D27C1">
              <w:rPr>
                <w:rFonts w:ascii="Verdana" w:hAnsi="Verdana"/>
                <w:i/>
                <w:sz w:val="16"/>
                <w:szCs w:val="16"/>
              </w:rPr>
              <w:t>Comercio Internacional</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 xml:space="preserve"> 69</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54</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15</w:t>
            </w:r>
          </w:p>
        </w:tc>
        <w:tc>
          <w:tcPr>
            <w:tcW w:w="7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13</w:t>
            </w:r>
          </w:p>
        </w:tc>
        <w:tc>
          <w:tcPr>
            <w:tcW w:w="6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23</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w:t>
            </w: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5</w:t>
            </w: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16</w:t>
            </w:r>
          </w:p>
        </w:tc>
        <w:tc>
          <w:tcPr>
            <w:tcW w:w="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 xml:space="preserve"> 1</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 xml:space="preserve"> </w:t>
            </w:r>
          </w:p>
          <w:p w:rsidR="0035480F" w:rsidRPr="00A76A58" w:rsidRDefault="0035480F" w:rsidP="003400B5">
            <w:pPr>
              <w:jc w:val="center"/>
              <w:cnfStyle w:val="000000010000"/>
              <w:rPr>
                <w:rFonts w:ascii="Verdana" w:hAnsi="Verdana"/>
                <w:sz w:val="16"/>
                <w:szCs w:val="16"/>
              </w:rPr>
            </w:pPr>
            <w:r w:rsidRPr="00A76A58">
              <w:rPr>
                <w:rFonts w:ascii="Verdana" w:hAnsi="Verdana"/>
                <w:sz w:val="16"/>
                <w:szCs w:val="16"/>
              </w:rPr>
              <w:t>7</w:t>
            </w:r>
          </w:p>
        </w:tc>
      </w:tr>
      <w:tr w:rsidR="000C0585" w:rsidTr="008F5F9B">
        <w:trPr>
          <w:cnfStyle w:val="000000100000"/>
          <w:jc w:val="center"/>
        </w:trPr>
        <w:tc>
          <w:tcPr>
            <w:cnfStyle w:val="001000000000"/>
            <w:tcW w:w="247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1D27C1" w:rsidRDefault="0035480F" w:rsidP="003400B5">
            <w:pPr>
              <w:rPr>
                <w:rFonts w:ascii="Verdana" w:hAnsi="Verdana"/>
                <w:b w:val="0"/>
                <w:i/>
                <w:sz w:val="16"/>
                <w:szCs w:val="16"/>
              </w:rPr>
            </w:pPr>
            <w:r w:rsidRPr="001D27C1">
              <w:rPr>
                <w:rFonts w:ascii="Verdana" w:hAnsi="Verdana"/>
                <w:i/>
                <w:sz w:val="16"/>
                <w:szCs w:val="16"/>
              </w:rPr>
              <w:t>Licenciatura en Economía</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 xml:space="preserve"> </w:t>
            </w: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20</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12</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8</w:t>
            </w:r>
          </w:p>
        </w:tc>
        <w:tc>
          <w:tcPr>
            <w:tcW w:w="7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w:t>
            </w:r>
          </w:p>
        </w:tc>
        <w:tc>
          <w:tcPr>
            <w:tcW w:w="6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6</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w:t>
            </w: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1</w:t>
            </w: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3</w:t>
            </w:r>
          </w:p>
        </w:tc>
        <w:tc>
          <w:tcPr>
            <w:tcW w:w="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 xml:space="preserve"> </w:t>
            </w: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2</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5480F" w:rsidRPr="00A76A58" w:rsidRDefault="0035480F" w:rsidP="003400B5">
            <w:pPr>
              <w:jc w:val="center"/>
              <w:cnfStyle w:val="000000100000"/>
              <w:rPr>
                <w:rFonts w:ascii="Verdana" w:hAnsi="Verdana"/>
                <w:sz w:val="16"/>
                <w:szCs w:val="16"/>
              </w:rPr>
            </w:pPr>
          </w:p>
          <w:p w:rsidR="0035480F" w:rsidRPr="00A76A58" w:rsidRDefault="0035480F" w:rsidP="003400B5">
            <w:pPr>
              <w:jc w:val="center"/>
              <w:cnfStyle w:val="000000100000"/>
              <w:rPr>
                <w:rFonts w:ascii="Verdana" w:hAnsi="Verdana"/>
                <w:sz w:val="16"/>
                <w:szCs w:val="16"/>
              </w:rPr>
            </w:pPr>
            <w:r w:rsidRPr="00A76A58">
              <w:rPr>
                <w:rFonts w:ascii="Verdana" w:hAnsi="Verdana"/>
                <w:sz w:val="16"/>
                <w:szCs w:val="16"/>
              </w:rPr>
              <w:t>2</w:t>
            </w:r>
          </w:p>
        </w:tc>
      </w:tr>
      <w:tr w:rsidR="000C0585" w:rsidTr="008F5F9B">
        <w:trPr>
          <w:cnfStyle w:val="000000010000"/>
          <w:jc w:val="center"/>
        </w:trPr>
        <w:tc>
          <w:tcPr>
            <w:cnfStyle w:val="001000000000"/>
            <w:tcW w:w="247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tcPr>
          <w:p w:rsidR="0035480F" w:rsidRDefault="0035480F" w:rsidP="003400B5">
            <w:pPr>
              <w:jc w:val="center"/>
              <w:rPr>
                <w:rFonts w:ascii="Verdana" w:hAnsi="Verdana"/>
              </w:rPr>
            </w:pPr>
          </w:p>
          <w:p w:rsidR="0035480F" w:rsidRPr="00D10F97" w:rsidRDefault="0035480F" w:rsidP="003400B5">
            <w:pPr>
              <w:jc w:val="center"/>
              <w:rPr>
                <w:rFonts w:ascii="Verdana" w:hAnsi="Verdana"/>
                <w:color w:val="FFFFFF" w:themeColor="background1"/>
              </w:rPr>
            </w:pPr>
            <w:r w:rsidRPr="00D10F97">
              <w:rPr>
                <w:rFonts w:ascii="Verdana" w:hAnsi="Verdana"/>
                <w:color w:val="FFFFFF" w:themeColor="background1"/>
              </w:rPr>
              <w:t>TOTALES</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472</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338</w:t>
            </w:r>
          </w:p>
        </w:tc>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134</w:t>
            </w:r>
          </w:p>
        </w:tc>
        <w:tc>
          <w:tcPr>
            <w:tcW w:w="7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131</w:t>
            </w:r>
          </w:p>
        </w:tc>
        <w:tc>
          <w:tcPr>
            <w:tcW w:w="6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72</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17</w:t>
            </w: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26</w:t>
            </w: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62</w:t>
            </w:r>
          </w:p>
        </w:tc>
        <w:tc>
          <w:tcPr>
            <w:tcW w:w="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25</w:t>
            </w: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35480F" w:rsidRPr="00A76A58" w:rsidRDefault="0035480F" w:rsidP="003400B5">
            <w:pPr>
              <w:jc w:val="center"/>
              <w:cnfStyle w:val="000000010000"/>
              <w:rPr>
                <w:rFonts w:ascii="Verdana" w:hAnsi="Verdana"/>
                <w:b/>
                <w:sz w:val="16"/>
                <w:szCs w:val="16"/>
              </w:rPr>
            </w:pPr>
          </w:p>
          <w:p w:rsidR="0035480F" w:rsidRPr="00A76A58" w:rsidRDefault="0035480F" w:rsidP="003400B5">
            <w:pPr>
              <w:jc w:val="center"/>
              <w:cnfStyle w:val="000000010000"/>
              <w:rPr>
                <w:rFonts w:ascii="Verdana" w:hAnsi="Verdana"/>
                <w:b/>
                <w:sz w:val="16"/>
                <w:szCs w:val="16"/>
              </w:rPr>
            </w:pPr>
            <w:r w:rsidRPr="00A76A58">
              <w:rPr>
                <w:rFonts w:ascii="Verdana" w:hAnsi="Verdana"/>
                <w:b/>
                <w:sz w:val="16"/>
                <w:szCs w:val="16"/>
              </w:rPr>
              <w:t>59</w:t>
            </w:r>
          </w:p>
        </w:tc>
      </w:tr>
    </w:tbl>
    <w:p w:rsidR="0035480F" w:rsidRPr="005E0D54" w:rsidRDefault="0035480F" w:rsidP="004B21E7">
      <w:pPr>
        <w:jc w:val="center"/>
        <w:rPr>
          <w:rFonts w:ascii="Arial" w:hAnsi="Arial" w:cs="Arial"/>
          <w:b/>
        </w:rPr>
      </w:pPr>
    </w:p>
    <w:p w:rsidR="00885D7B" w:rsidRDefault="00057655" w:rsidP="00885D7B">
      <w:pPr>
        <w:jc w:val="center"/>
        <w:rPr>
          <w:rFonts w:ascii="Arial" w:hAnsi="Arial" w:cs="Arial"/>
          <w:i/>
          <w:sz w:val="16"/>
          <w:szCs w:val="16"/>
        </w:rPr>
      </w:pPr>
      <w:r w:rsidRPr="00057655">
        <w:rPr>
          <w:rFonts w:ascii="Verdana" w:hAnsi="Verdana" w:cstheme="minorBidi"/>
          <w:i/>
          <w:sz w:val="16"/>
          <w:szCs w:val="16"/>
        </w:rPr>
        <w:t>Cuadro 1</w:t>
      </w:r>
      <w:r w:rsidR="000C0585">
        <w:rPr>
          <w:rFonts w:ascii="Arial" w:hAnsi="Arial" w:cs="Arial"/>
          <w:i/>
          <w:sz w:val="16"/>
          <w:szCs w:val="16"/>
        </w:rPr>
        <w:t xml:space="preserve"> </w:t>
      </w:r>
    </w:p>
    <w:p w:rsidR="008F5F9B" w:rsidRDefault="008F5F9B" w:rsidP="00885D7B">
      <w:pPr>
        <w:jc w:val="center"/>
        <w:rPr>
          <w:rFonts w:ascii="Arial" w:hAnsi="Arial" w:cs="Arial"/>
          <w:i/>
          <w:sz w:val="16"/>
          <w:szCs w:val="16"/>
        </w:rPr>
      </w:pPr>
    </w:p>
    <w:p w:rsidR="008F5F9B" w:rsidRPr="00885D7B" w:rsidRDefault="008F5F9B" w:rsidP="008F5F9B">
      <w:pPr>
        <w:rPr>
          <w:rFonts w:ascii="Verdana" w:hAnsi="Verdana" w:cstheme="minorBidi"/>
          <w:i/>
          <w:sz w:val="16"/>
          <w:szCs w:val="16"/>
        </w:rPr>
      </w:pPr>
      <w:r>
        <w:rPr>
          <w:rFonts w:ascii="Arial" w:hAnsi="Arial" w:cs="Arial"/>
          <w:i/>
          <w:sz w:val="16"/>
          <w:szCs w:val="16"/>
        </w:rPr>
        <w:t xml:space="preserve">                                                                                        </w:t>
      </w:r>
    </w:p>
    <w:tbl>
      <w:tblPr>
        <w:tblStyle w:val="Cuadrculaclara-nfasis11"/>
        <w:tblW w:w="0" w:type="auto"/>
        <w:jc w:val="center"/>
        <w:tblLook w:val="04A0"/>
      </w:tblPr>
      <w:tblGrid>
        <w:gridCol w:w="3014"/>
        <w:gridCol w:w="1179"/>
        <w:gridCol w:w="1417"/>
        <w:gridCol w:w="1418"/>
        <w:gridCol w:w="1714"/>
      </w:tblGrid>
      <w:tr w:rsidR="008F5F9B" w:rsidRPr="00D7733C" w:rsidTr="0031006A">
        <w:trPr>
          <w:cnfStyle w:val="100000000000"/>
          <w:trHeight w:val="972"/>
          <w:jc w:val="center"/>
        </w:trPr>
        <w:tc>
          <w:tcPr>
            <w:cnfStyle w:val="001000000000"/>
            <w:tcW w:w="3014" w:type="dxa"/>
            <w:tcBorders>
              <w:top w:val="single" w:sz="18" w:space="0" w:color="4F81BD" w:themeColor="accent1"/>
              <w:left w:val="single" w:sz="18" w:space="0" w:color="4F81BD" w:themeColor="accent1"/>
              <w:right w:val="single" w:sz="18" w:space="0" w:color="4F81BD" w:themeColor="accent1"/>
            </w:tcBorders>
            <w:shd w:val="clear" w:color="auto" w:fill="1F497D" w:themeFill="text2"/>
          </w:tcPr>
          <w:p w:rsidR="008F5F9B" w:rsidRPr="00976378" w:rsidRDefault="008F5F9B" w:rsidP="0031006A">
            <w:pPr>
              <w:rPr>
                <w:rFonts w:ascii="Verdana" w:hAnsi="Verdana"/>
                <w:color w:val="FFFFFF" w:themeColor="background1"/>
                <w:sz w:val="14"/>
                <w:szCs w:val="14"/>
              </w:rPr>
            </w:pPr>
          </w:p>
          <w:p w:rsidR="008F5F9B" w:rsidRPr="00976378" w:rsidRDefault="008F5F9B" w:rsidP="0031006A">
            <w:pPr>
              <w:rPr>
                <w:rFonts w:ascii="Verdana" w:hAnsi="Verdana"/>
                <w:color w:val="FFFFFF" w:themeColor="background1"/>
                <w:sz w:val="14"/>
                <w:szCs w:val="14"/>
              </w:rPr>
            </w:pPr>
          </w:p>
          <w:p w:rsidR="008F5F9B" w:rsidRPr="00976378" w:rsidRDefault="008F5F9B" w:rsidP="0031006A">
            <w:pPr>
              <w:jc w:val="center"/>
              <w:rPr>
                <w:rFonts w:ascii="Verdana" w:hAnsi="Verdana"/>
                <w:color w:val="FFFFFF" w:themeColor="background1"/>
                <w:sz w:val="14"/>
                <w:szCs w:val="14"/>
              </w:rPr>
            </w:pPr>
            <w:r w:rsidRPr="00976378">
              <w:rPr>
                <w:rFonts w:ascii="Verdana" w:hAnsi="Verdana"/>
                <w:color w:val="FFFFFF" w:themeColor="background1"/>
                <w:sz w:val="14"/>
                <w:szCs w:val="14"/>
              </w:rPr>
              <w:t>CARRERAS</w:t>
            </w:r>
          </w:p>
        </w:tc>
        <w:tc>
          <w:tcPr>
            <w:tcW w:w="1179" w:type="dxa"/>
            <w:tcBorders>
              <w:top w:val="single" w:sz="12" w:space="0" w:color="4F81BD" w:themeColor="accent1"/>
              <w:left w:val="single" w:sz="18" w:space="0" w:color="4F81BD" w:themeColor="accent1"/>
              <w:right w:val="single" w:sz="18" w:space="0" w:color="4F81BD" w:themeColor="accent1"/>
            </w:tcBorders>
            <w:shd w:val="clear" w:color="auto" w:fill="DBE5F1" w:themeFill="accent1" w:themeFillTint="33"/>
          </w:tcPr>
          <w:p w:rsidR="008F5F9B" w:rsidRPr="00976378" w:rsidRDefault="008F5F9B" w:rsidP="0031006A">
            <w:pPr>
              <w:jc w:val="center"/>
              <w:cnfStyle w:val="100000000000"/>
              <w:rPr>
                <w:rFonts w:ascii="Verdana" w:hAnsi="Verdana"/>
                <w:b w:val="0"/>
                <w:sz w:val="14"/>
                <w:szCs w:val="14"/>
              </w:rPr>
            </w:pPr>
            <w:r w:rsidRPr="00976378">
              <w:rPr>
                <w:rFonts w:ascii="Verdana" w:hAnsi="Verdana"/>
                <w:b w:val="0"/>
                <w:sz w:val="14"/>
                <w:szCs w:val="14"/>
              </w:rPr>
              <w:t>Total de alumnos ingresantes discriminados por Carrera</w:t>
            </w:r>
          </w:p>
        </w:tc>
        <w:tc>
          <w:tcPr>
            <w:tcW w:w="1417" w:type="dxa"/>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Pr="00976378" w:rsidRDefault="008F5F9B" w:rsidP="0031006A">
            <w:pPr>
              <w:jc w:val="center"/>
              <w:cnfStyle w:val="100000000000"/>
              <w:rPr>
                <w:rFonts w:ascii="Verdana" w:hAnsi="Verdana"/>
                <w:b w:val="0"/>
                <w:sz w:val="14"/>
                <w:szCs w:val="14"/>
              </w:rPr>
            </w:pPr>
            <w:r w:rsidRPr="00976378">
              <w:rPr>
                <w:rFonts w:ascii="Verdana" w:hAnsi="Verdana"/>
                <w:b w:val="0"/>
                <w:sz w:val="14"/>
                <w:szCs w:val="14"/>
              </w:rPr>
              <w:t>Cantidad de alumnos en riesgo discriminados por Carrera</w:t>
            </w: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Pr="005C2566" w:rsidRDefault="008F5F9B" w:rsidP="0031006A">
            <w:pPr>
              <w:jc w:val="center"/>
              <w:cnfStyle w:val="100000000000"/>
              <w:rPr>
                <w:rFonts w:ascii="Verdana" w:hAnsi="Verdana"/>
                <w:bCs w:val="0"/>
                <w:sz w:val="14"/>
                <w:szCs w:val="14"/>
              </w:rPr>
            </w:pPr>
            <w:r w:rsidRPr="00976378">
              <w:rPr>
                <w:rFonts w:ascii="Verdana" w:hAnsi="Verdana"/>
                <w:b w:val="0"/>
                <w:sz w:val="14"/>
                <w:szCs w:val="14"/>
              </w:rPr>
              <w:t>Cantidad de alumnos que respondieron a la intervención tutorial</w:t>
            </w:r>
          </w:p>
        </w:tc>
        <w:tc>
          <w:tcPr>
            <w:tcW w:w="1714" w:type="dxa"/>
            <w:tcBorders>
              <w:top w:val="single" w:sz="12" w:space="0" w:color="4F81BD" w:themeColor="accent1"/>
              <w:left w:val="single" w:sz="12" w:space="0" w:color="4F81BD" w:themeColor="accent1"/>
              <w:right w:val="single" w:sz="12" w:space="0" w:color="4F81BD" w:themeColor="accent1"/>
            </w:tcBorders>
            <w:shd w:val="clear" w:color="auto" w:fill="1F497D" w:themeFill="text2"/>
          </w:tcPr>
          <w:p w:rsidR="008F5F9B" w:rsidRPr="00976378" w:rsidRDefault="008F5F9B" w:rsidP="0031006A">
            <w:pPr>
              <w:jc w:val="center"/>
              <w:cnfStyle w:val="100000000000"/>
              <w:rPr>
                <w:rFonts w:ascii="Verdana" w:hAnsi="Verdana"/>
                <w:color w:val="FFFFFF" w:themeColor="background1"/>
                <w:sz w:val="14"/>
                <w:szCs w:val="14"/>
              </w:rPr>
            </w:pPr>
            <w:r w:rsidRPr="00976378">
              <w:rPr>
                <w:rFonts w:ascii="Verdana" w:hAnsi="Verdana"/>
                <w:color w:val="FFFFFF" w:themeColor="background1"/>
                <w:sz w:val="14"/>
                <w:szCs w:val="14"/>
              </w:rPr>
              <w:t>CANTIDAD DE ALUMNOS QUE CONSERVARON</w:t>
            </w:r>
            <w:r>
              <w:rPr>
                <w:rFonts w:ascii="Verdana" w:hAnsi="Verdana"/>
                <w:color w:val="FFFFFF" w:themeColor="background1"/>
                <w:sz w:val="14"/>
                <w:szCs w:val="14"/>
              </w:rPr>
              <w:t xml:space="preserve"> </w:t>
            </w:r>
            <w:r w:rsidRPr="00976378">
              <w:rPr>
                <w:rFonts w:ascii="Verdana" w:hAnsi="Verdana"/>
                <w:color w:val="FFFFFF" w:themeColor="background1"/>
                <w:sz w:val="14"/>
                <w:szCs w:val="14"/>
              </w:rPr>
              <w:t xml:space="preserve"> LA REGULARIDAD</w:t>
            </w:r>
          </w:p>
        </w:tc>
      </w:tr>
      <w:tr w:rsidR="008F5F9B" w:rsidRPr="00A76A58" w:rsidTr="0031006A">
        <w:trPr>
          <w:cnfStyle w:val="000000100000"/>
          <w:jc w:val="center"/>
        </w:trPr>
        <w:tc>
          <w:tcPr>
            <w:cnfStyle w:val="001000000000"/>
            <w:tcW w:w="3014" w:type="dxa"/>
            <w:tcBorders>
              <w:top w:val="single" w:sz="18" w:space="0" w:color="4F81BD" w:themeColor="accent1"/>
              <w:left w:val="single" w:sz="12" w:space="0" w:color="4F81BD" w:themeColor="accent1"/>
              <w:bottom w:val="single" w:sz="12" w:space="0" w:color="4F81BD" w:themeColor="accent1"/>
              <w:right w:val="single" w:sz="12" w:space="0" w:color="4F81BD" w:themeColor="accent1"/>
            </w:tcBorders>
          </w:tcPr>
          <w:p w:rsidR="008F5F9B" w:rsidRPr="001D27C1" w:rsidRDefault="008F5F9B" w:rsidP="0031006A">
            <w:pPr>
              <w:rPr>
                <w:rFonts w:ascii="Verdana" w:hAnsi="Verdana"/>
                <w:b w:val="0"/>
                <w:i/>
                <w:sz w:val="16"/>
                <w:szCs w:val="16"/>
              </w:rPr>
            </w:pPr>
            <w:r w:rsidRPr="001D27C1">
              <w:rPr>
                <w:rFonts w:ascii="Verdana" w:hAnsi="Verdana"/>
                <w:i/>
                <w:sz w:val="16"/>
                <w:szCs w:val="16"/>
              </w:rPr>
              <w:t>Contador Público</w:t>
            </w:r>
          </w:p>
        </w:tc>
        <w:tc>
          <w:tcPr>
            <w:tcW w:w="11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Default="008F5F9B" w:rsidP="0031006A">
            <w:pPr>
              <w:jc w:val="center"/>
              <w:cnfStyle w:val="000000100000"/>
              <w:rPr>
                <w:rFonts w:ascii="Verdana" w:hAnsi="Verdana"/>
                <w:sz w:val="16"/>
                <w:szCs w:val="16"/>
              </w:rPr>
            </w:pPr>
            <w:r>
              <w:rPr>
                <w:rFonts w:ascii="Verdana" w:hAnsi="Verdana"/>
                <w:sz w:val="16"/>
                <w:szCs w:val="16"/>
              </w:rPr>
              <w:t>810</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Pr="00A76A58" w:rsidRDefault="008F5F9B" w:rsidP="0031006A">
            <w:pPr>
              <w:jc w:val="center"/>
              <w:cnfStyle w:val="000000100000"/>
              <w:rPr>
                <w:rFonts w:ascii="Verdana" w:hAnsi="Verdana"/>
                <w:sz w:val="16"/>
                <w:szCs w:val="16"/>
              </w:rPr>
            </w:pPr>
            <w:r>
              <w:rPr>
                <w:rFonts w:ascii="Verdana" w:hAnsi="Verdana"/>
                <w:sz w:val="16"/>
                <w:szCs w:val="16"/>
              </w:rPr>
              <w:t>257</w:t>
            </w: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8F5F9B" w:rsidRDefault="008F5F9B" w:rsidP="0031006A">
            <w:pPr>
              <w:jc w:val="center"/>
              <w:cnfStyle w:val="000000100000"/>
              <w:rPr>
                <w:rFonts w:ascii="Verdana" w:hAnsi="Verdana"/>
                <w:sz w:val="16"/>
                <w:szCs w:val="16"/>
              </w:rPr>
            </w:pPr>
            <w:r>
              <w:rPr>
                <w:rFonts w:ascii="Verdana" w:hAnsi="Verdana"/>
                <w:sz w:val="16"/>
                <w:szCs w:val="16"/>
              </w:rPr>
              <w:t>169</w:t>
            </w:r>
          </w:p>
        </w:tc>
        <w:tc>
          <w:tcPr>
            <w:tcW w:w="17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Pr="00A76A58" w:rsidRDefault="008F5F9B" w:rsidP="0031006A">
            <w:pPr>
              <w:jc w:val="center"/>
              <w:cnfStyle w:val="000000100000"/>
              <w:rPr>
                <w:rFonts w:ascii="Verdana" w:hAnsi="Verdana"/>
                <w:sz w:val="16"/>
                <w:szCs w:val="16"/>
              </w:rPr>
            </w:pPr>
            <w:r>
              <w:rPr>
                <w:rFonts w:ascii="Verdana" w:hAnsi="Verdana"/>
                <w:sz w:val="16"/>
                <w:szCs w:val="16"/>
              </w:rPr>
              <w:t>130</w:t>
            </w:r>
          </w:p>
        </w:tc>
      </w:tr>
      <w:tr w:rsidR="008F5F9B" w:rsidRPr="00A76A58" w:rsidTr="0031006A">
        <w:trPr>
          <w:cnfStyle w:val="000000010000"/>
          <w:jc w:val="center"/>
        </w:trPr>
        <w:tc>
          <w:tcPr>
            <w:cnfStyle w:val="001000000000"/>
            <w:tcW w:w="30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Pr="001D27C1" w:rsidRDefault="008F5F9B" w:rsidP="0031006A">
            <w:pPr>
              <w:rPr>
                <w:rFonts w:ascii="Verdana" w:hAnsi="Verdana"/>
                <w:b w:val="0"/>
                <w:i/>
                <w:sz w:val="16"/>
                <w:szCs w:val="16"/>
              </w:rPr>
            </w:pPr>
            <w:r w:rsidRPr="001D27C1">
              <w:rPr>
                <w:rFonts w:ascii="Verdana" w:hAnsi="Verdana"/>
                <w:i/>
                <w:sz w:val="16"/>
                <w:szCs w:val="16"/>
              </w:rPr>
              <w:t>Licenciatura en Administración</w:t>
            </w:r>
          </w:p>
        </w:tc>
        <w:tc>
          <w:tcPr>
            <w:tcW w:w="11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Default="008F5F9B" w:rsidP="0031006A">
            <w:pPr>
              <w:jc w:val="center"/>
              <w:cnfStyle w:val="000000010000"/>
              <w:rPr>
                <w:rFonts w:ascii="Verdana" w:hAnsi="Verdana"/>
                <w:sz w:val="16"/>
                <w:szCs w:val="16"/>
              </w:rPr>
            </w:pPr>
            <w:r>
              <w:rPr>
                <w:rFonts w:ascii="Verdana" w:hAnsi="Verdana"/>
                <w:sz w:val="16"/>
                <w:szCs w:val="16"/>
              </w:rPr>
              <w:t>465</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Pr="00A76A58" w:rsidRDefault="008F5F9B" w:rsidP="0031006A">
            <w:pPr>
              <w:jc w:val="center"/>
              <w:cnfStyle w:val="000000010000"/>
              <w:rPr>
                <w:rFonts w:ascii="Verdana" w:hAnsi="Verdana"/>
                <w:sz w:val="16"/>
                <w:szCs w:val="16"/>
              </w:rPr>
            </w:pPr>
            <w:r>
              <w:rPr>
                <w:rFonts w:ascii="Verdana" w:hAnsi="Verdana"/>
                <w:sz w:val="16"/>
                <w:szCs w:val="16"/>
              </w:rPr>
              <w:t>126</w:t>
            </w: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8F5F9B" w:rsidRDefault="008F5F9B" w:rsidP="0031006A">
            <w:pPr>
              <w:jc w:val="center"/>
              <w:cnfStyle w:val="000000010000"/>
              <w:rPr>
                <w:rFonts w:ascii="Verdana" w:hAnsi="Verdana"/>
                <w:sz w:val="16"/>
                <w:szCs w:val="16"/>
              </w:rPr>
            </w:pPr>
            <w:r>
              <w:rPr>
                <w:rFonts w:ascii="Verdana" w:hAnsi="Verdana"/>
                <w:sz w:val="16"/>
                <w:szCs w:val="16"/>
              </w:rPr>
              <w:t>103</w:t>
            </w:r>
          </w:p>
        </w:tc>
        <w:tc>
          <w:tcPr>
            <w:tcW w:w="17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Pr="00A76A58" w:rsidRDefault="008F5F9B" w:rsidP="0031006A">
            <w:pPr>
              <w:jc w:val="center"/>
              <w:cnfStyle w:val="000000010000"/>
              <w:rPr>
                <w:rFonts w:ascii="Verdana" w:hAnsi="Verdana"/>
                <w:sz w:val="16"/>
                <w:szCs w:val="16"/>
              </w:rPr>
            </w:pPr>
            <w:r>
              <w:rPr>
                <w:rFonts w:ascii="Verdana" w:hAnsi="Verdana"/>
                <w:sz w:val="16"/>
                <w:szCs w:val="16"/>
              </w:rPr>
              <w:t>31</w:t>
            </w:r>
          </w:p>
        </w:tc>
      </w:tr>
      <w:tr w:rsidR="008F5F9B" w:rsidRPr="00A76A58" w:rsidTr="0031006A">
        <w:trPr>
          <w:cnfStyle w:val="000000100000"/>
          <w:jc w:val="center"/>
        </w:trPr>
        <w:tc>
          <w:tcPr>
            <w:cnfStyle w:val="001000000000"/>
            <w:tcW w:w="30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Pr="001D27C1" w:rsidRDefault="008F5F9B" w:rsidP="0031006A">
            <w:pPr>
              <w:rPr>
                <w:rFonts w:ascii="Verdana" w:hAnsi="Verdana"/>
                <w:i/>
                <w:sz w:val="16"/>
                <w:szCs w:val="16"/>
              </w:rPr>
            </w:pPr>
            <w:r w:rsidRPr="001D27C1">
              <w:rPr>
                <w:rFonts w:ascii="Verdana" w:hAnsi="Verdana"/>
                <w:i/>
                <w:sz w:val="16"/>
                <w:szCs w:val="16"/>
              </w:rPr>
              <w:t>Licenciatura en</w:t>
            </w:r>
          </w:p>
          <w:p w:rsidR="008F5F9B" w:rsidRPr="001D27C1" w:rsidRDefault="008F5F9B" w:rsidP="0031006A">
            <w:pPr>
              <w:rPr>
                <w:rFonts w:ascii="Verdana" w:hAnsi="Verdana"/>
                <w:b w:val="0"/>
                <w:i/>
                <w:sz w:val="16"/>
                <w:szCs w:val="16"/>
              </w:rPr>
            </w:pPr>
            <w:r w:rsidRPr="001D27C1">
              <w:rPr>
                <w:rFonts w:ascii="Verdana" w:hAnsi="Verdana"/>
                <w:i/>
                <w:sz w:val="16"/>
                <w:szCs w:val="16"/>
              </w:rPr>
              <w:t>Comercio Internacional</w:t>
            </w:r>
          </w:p>
        </w:tc>
        <w:tc>
          <w:tcPr>
            <w:tcW w:w="11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Default="008F5F9B" w:rsidP="0031006A">
            <w:pPr>
              <w:jc w:val="center"/>
              <w:cnfStyle w:val="000000100000"/>
              <w:rPr>
                <w:rFonts w:ascii="Verdana" w:hAnsi="Verdana"/>
                <w:sz w:val="16"/>
                <w:szCs w:val="16"/>
              </w:rPr>
            </w:pPr>
            <w:r>
              <w:rPr>
                <w:rFonts w:ascii="Verdana" w:hAnsi="Verdana"/>
                <w:sz w:val="16"/>
                <w:szCs w:val="16"/>
              </w:rPr>
              <w:t>262</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Pr="00A76A58" w:rsidRDefault="008F5F9B" w:rsidP="0031006A">
            <w:pPr>
              <w:jc w:val="center"/>
              <w:cnfStyle w:val="000000100000"/>
              <w:rPr>
                <w:rFonts w:ascii="Verdana" w:hAnsi="Verdana"/>
                <w:sz w:val="16"/>
                <w:szCs w:val="16"/>
              </w:rPr>
            </w:pPr>
            <w:r>
              <w:rPr>
                <w:rFonts w:ascii="Verdana" w:hAnsi="Verdana"/>
                <w:sz w:val="16"/>
                <w:szCs w:val="16"/>
              </w:rPr>
              <w:t>69</w:t>
            </w: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8F5F9B" w:rsidRDefault="008F5F9B" w:rsidP="0031006A">
            <w:pPr>
              <w:jc w:val="center"/>
              <w:cnfStyle w:val="000000100000"/>
              <w:rPr>
                <w:rFonts w:ascii="Verdana" w:hAnsi="Verdana"/>
                <w:sz w:val="16"/>
                <w:szCs w:val="16"/>
              </w:rPr>
            </w:pPr>
            <w:r>
              <w:rPr>
                <w:rFonts w:ascii="Verdana" w:hAnsi="Verdana"/>
                <w:sz w:val="16"/>
                <w:szCs w:val="16"/>
              </w:rPr>
              <w:t>54</w:t>
            </w:r>
          </w:p>
        </w:tc>
        <w:tc>
          <w:tcPr>
            <w:tcW w:w="17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F5F9B" w:rsidRPr="00A76A58" w:rsidRDefault="008F5F9B" w:rsidP="0031006A">
            <w:pPr>
              <w:jc w:val="center"/>
              <w:cnfStyle w:val="000000100000"/>
              <w:rPr>
                <w:rFonts w:ascii="Verdana" w:hAnsi="Verdana"/>
                <w:sz w:val="16"/>
                <w:szCs w:val="16"/>
              </w:rPr>
            </w:pPr>
            <w:r>
              <w:rPr>
                <w:rFonts w:ascii="Verdana" w:hAnsi="Verdana"/>
                <w:sz w:val="16"/>
                <w:szCs w:val="16"/>
              </w:rPr>
              <w:t>15</w:t>
            </w:r>
          </w:p>
        </w:tc>
      </w:tr>
      <w:tr w:rsidR="008F5F9B" w:rsidRPr="00A76A58" w:rsidTr="0031006A">
        <w:trPr>
          <w:cnfStyle w:val="000000010000"/>
          <w:jc w:val="center"/>
        </w:trPr>
        <w:tc>
          <w:tcPr>
            <w:cnfStyle w:val="001000000000"/>
            <w:tcW w:w="30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Pr="001D27C1" w:rsidRDefault="008F5F9B" w:rsidP="0031006A">
            <w:pPr>
              <w:rPr>
                <w:rFonts w:ascii="Verdana" w:hAnsi="Verdana"/>
                <w:b w:val="0"/>
                <w:i/>
                <w:sz w:val="16"/>
                <w:szCs w:val="16"/>
              </w:rPr>
            </w:pPr>
            <w:r w:rsidRPr="001D27C1">
              <w:rPr>
                <w:rFonts w:ascii="Verdana" w:hAnsi="Verdana"/>
                <w:i/>
                <w:sz w:val="16"/>
                <w:szCs w:val="16"/>
              </w:rPr>
              <w:t>Licenciatura en Economía</w:t>
            </w:r>
          </w:p>
        </w:tc>
        <w:tc>
          <w:tcPr>
            <w:tcW w:w="11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Default="008F5F9B" w:rsidP="0031006A">
            <w:pPr>
              <w:jc w:val="center"/>
              <w:cnfStyle w:val="000000010000"/>
              <w:rPr>
                <w:rFonts w:ascii="Verdana" w:hAnsi="Verdana"/>
                <w:sz w:val="16"/>
                <w:szCs w:val="16"/>
              </w:rPr>
            </w:pPr>
            <w:r>
              <w:rPr>
                <w:rFonts w:ascii="Verdana" w:hAnsi="Verdana"/>
                <w:sz w:val="16"/>
                <w:szCs w:val="16"/>
              </w:rPr>
              <w:t>65</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Pr="00A76A58" w:rsidRDefault="008F5F9B" w:rsidP="0031006A">
            <w:pPr>
              <w:jc w:val="center"/>
              <w:cnfStyle w:val="000000010000"/>
              <w:rPr>
                <w:rFonts w:ascii="Verdana" w:hAnsi="Verdana"/>
                <w:sz w:val="16"/>
                <w:szCs w:val="16"/>
              </w:rPr>
            </w:pPr>
            <w:r>
              <w:rPr>
                <w:rFonts w:ascii="Verdana" w:hAnsi="Verdana"/>
                <w:sz w:val="16"/>
                <w:szCs w:val="16"/>
              </w:rPr>
              <w:t>20</w:t>
            </w:r>
            <w:r w:rsidRPr="00A76A58">
              <w:rPr>
                <w:rFonts w:ascii="Verdana" w:hAnsi="Verdana"/>
                <w:sz w:val="16"/>
                <w:szCs w:val="16"/>
              </w:rPr>
              <w:t xml:space="preserve"> </w:t>
            </w: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8F5F9B" w:rsidRDefault="008F5F9B" w:rsidP="0031006A">
            <w:pPr>
              <w:jc w:val="center"/>
              <w:cnfStyle w:val="000000010000"/>
              <w:rPr>
                <w:rFonts w:ascii="Verdana" w:hAnsi="Verdana"/>
                <w:sz w:val="16"/>
                <w:szCs w:val="16"/>
              </w:rPr>
            </w:pPr>
            <w:r>
              <w:rPr>
                <w:rFonts w:ascii="Verdana" w:hAnsi="Verdana"/>
                <w:sz w:val="16"/>
                <w:szCs w:val="16"/>
              </w:rPr>
              <w:t>12</w:t>
            </w:r>
          </w:p>
        </w:tc>
        <w:tc>
          <w:tcPr>
            <w:tcW w:w="17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F5F9B" w:rsidRPr="00A76A58" w:rsidRDefault="008F5F9B" w:rsidP="0031006A">
            <w:pPr>
              <w:jc w:val="center"/>
              <w:cnfStyle w:val="000000010000"/>
              <w:rPr>
                <w:rFonts w:ascii="Verdana" w:hAnsi="Verdana"/>
                <w:sz w:val="16"/>
                <w:szCs w:val="16"/>
              </w:rPr>
            </w:pPr>
            <w:r>
              <w:rPr>
                <w:rFonts w:ascii="Verdana" w:hAnsi="Verdana"/>
                <w:sz w:val="16"/>
                <w:szCs w:val="16"/>
              </w:rPr>
              <w:t>6</w:t>
            </w:r>
          </w:p>
        </w:tc>
      </w:tr>
      <w:tr w:rsidR="008F5F9B" w:rsidRPr="00A76A58" w:rsidTr="0031006A">
        <w:trPr>
          <w:cnfStyle w:val="000000100000"/>
          <w:trHeight w:val="473"/>
          <w:jc w:val="center"/>
        </w:trPr>
        <w:tc>
          <w:tcPr>
            <w:cnfStyle w:val="001000000000"/>
            <w:tcW w:w="30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tcPr>
          <w:p w:rsidR="008F5F9B" w:rsidRDefault="008F5F9B" w:rsidP="0031006A">
            <w:pPr>
              <w:jc w:val="center"/>
              <w:rPr>
                <w:rFonts w:ascii="Verdana" w:hAnsi="Verdana"/>
              </w:rPr>
            </w:pPr>
          </w:p>
          <w:p w:rsidR="008F5F9B" w:rsidRPr="00976378" w:rsidRDefault="008F5F9B" w:rsidP="0031006A">
            <w:pPr>
              <w:jc w:val="center"/>
              <w:rPr>
                <w:rFonts w:ascii="Verdana" w:hAnsi="Verdana"/>
                <w:color w:val="FFFFFF" w:themeColor="background1"/>
                <w:sz w:val="16"/>
                <w:szCs w:val="16"/>
              </w:rPr>
            </w:pPr>
            <w:r w:rsidRPr="00976378">
              <w:rPr>
                <w:rFonts w:ascii="Verdana" w:hAnsi="Verdana"/>
                <w:color w:val="FFFFFF" w:themeColor="background1"/>
                <w:sz w:val="16"/>
                <w:szCs w:val="16"/>
              </w:rPr>
              <w:t>TOTALES</w:t>
            </w:r>
          </w:p>
        </w:tc>
        <w:tc>
          <w:tcPr>
            <w:tcW w:w="11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8F5F9B" w:rsidRDefault="008F5F9B" w:rsidP="0031006A">
            <w:pPr>
              <w:tabs>
                <w:tab w:val="left" w:pos="735"/>
                <w:tab w:val="center" w:pos="955"/>
              </w:tabs>
              <w:jc w:val="center"/>
              <w:cnfStyle w:val="000000100000"/>
              <w:rPr>
                <w:rFonts w:ascii="Verdana" w:hAnsi="Verdana"/>
                <w:b/>
                <w:sz w:val="16"/>
                <w:szCs w:val="16"/>
              </w:rPr>
            </w:pPr>
          </w:p>
          <w:p w:rsidR="008F5F9B" w:rsidRDefault="008F5F9B" w:rsidP="0031006A">
            <w:pPr>
              <w:tabs>
                <w:tab w:val="left" w:pos="735"/>
                <w:tab w:val="center" w:pos="955"/>
              </w:tabs>
              <w:jc w:val="center"/>
              <w:cnfStyle w:val="000000100000"/>
              <w:rPr>
                <w:rFonts w:ascii="Verdana" w:hAnsi="Verdana"/>
                <w:b/>
                <w:sz w:val="16"/>
                <w:szCs w:val="16"/>
              </w:rPr>
            </w:pPr>
            <w:r>
              <w:rPr>
                <w:rFonts w:ascii="Verdana" w:hAnsi="Verdana"/>
                <w:b/>
                <w:sz w:val="16"/>
                <w:szCs w:val="16"/>
              </w:rPr>
              <w:t>1602</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cPr>
          <w:p w:rsidR="008F5F9B" w:rsidRDefault="008F5F9B" w:rsidP="0031006A">
            <w:pPr>
              <w:tabs>
                <w:tab w:val="left" w:pos="735"/>
                <w:tab w:val="center" w:pos="955"/>
              </w:tabs>
              <w:cnfStyle w:val="000000100000"/>
              <w:rPr>
                <w:rFonts w:ascii="Verdana" w:hAnsi="Verdana"/>
                <w:b/>
                <w:sz w:val="16"/>
                <w:szCs w:val="16"/>
              </w:rPr>
            </w:pPr>
            <w:r>
              <w:rPr>
                <w:rFonts w:ascii="Verdana" w:hAnsi="Verdana"/>
                <w:b/>
                <w:sz w:val="16"/>
                <w:szCs w:val="16"/>
              </w:rPr>
              <w:tab/>
            </w:r>
          </w:p>
          <w:p w:rsidR="008F5F9B" w:rsidRPr="00A76A58" w:rsidRDefault="008F5F9B" w:rsidP="0031006A">
            <w:pPr>
              <w:tabs>
                <w:tab w:val="left" w:pos="735"/>
                <w:tab w:val="center" w:pos="955"/>
              </w:tabs>
              <w:jc w:val="center"/>
              <w:cnfStyle w:val="000000100000"/>
              <w:rPr>
                <w:rFonts w:ascii="Verdana" w:hAnsi="Verdana"/>
                <w:b/>
                <w:sz w:val="16"/>
                <w:szCs w:val="16"/>
              </w:rPr>
            </w:pPr>
            <w:r>
              <w:rPr>
                <w:rFonts w:ascii="Verdana" w:hAnsi="Verdana"/>
                <w:b/>
                <w:sz w:val="16"/>
                <w:szCs w:val="16"/>
              </w:rPr>
              <w:t>472</w:t>
            </w: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8F5F9B" w:rsidRDefault="008F5F9B" w:rsidP="0031006A">
            <w:pPr>
              <w:jc w:val="center"/>
              <w:cnfStyle w:val="000000100000"/>
              <w:rPr>
                <w:rFonts w:ascii="Verdana" w:hAnsi="Verdana"/>
                <w:b/>
                <w:sz w:val="16"/>
                <w:szCs w:val="16"/>
              </w:rPr>
            </w:pPr>
          </w:p>
          <w:p w:rsidR="008F5F9B" w:rsidRDefault="008F5F9B" w:rsidP="0031006A">
            <w:pPr>
              <w:jc w:val="center"/>
              <w:cnfStyle w:val="000000100000"/>
              <w:rPr>
                <w:rFonts w:ascii="Verdana" w:hAnsi="Verdana"/>
                <w:b/>
                <w:sz w:val="16"/>
                <w:szCs w:val="16"/>
              </w:rPr>
            </w:pPr>
            <w:r>
              <w:rPr>
                <w:rFonts w:ascii="Verdana" w:hAnsi="Verdana"/>
                <w:b/>
                <w:sz w:val="16"/>
                <w:szCs w:val="16"/>
              </w:rPr>
              <w:t>338</w:t>
            </w:r>
          </w:p>
        </w:tc>
        <w:tc>
          <w:tcPr>
            <w:tcW w:w="171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tcPr>
          <w:p w:rsidR="008F5F9B" w:rsidRPr="009B79E1" w:rsidRDefault="008F5F9B" w:rsidP="0031006A">
            <w:pPr>
              <w:jc w:val="center"/>
              <w:cnfStyle w:val="000000100000"/>
              <w:rPr>
                <w:rFonts w:ascii="Verdana" w:hAnsi="Verdana"/>
                <w:b/>
                <w:color w:val="FFFFFF" w:themeColor="background1"/>
                <w:sz w:val="16"/>
                <w:szCs w:val="16"/>
              </w:rPr>
            </w:pPr>
          </w:p>
          <w:p w:rsidR="008F5F9B" w:rsidRPr="009B79E1" w:rsidRDefault="008F5F9B" w:rsidP="0031006A">
            <w:pPr>
              <w:jc w:val="center"/>
              <w:cnfStyle w:val="000000100000"/>
              <w:rPr>
                <w:rFonts w:ascii="Verdana" w:hAnsi="Verdana"/>
                <w:b/>
                <w:color w:val="FFFFFF" w:themeColor="background1"/>
                <w:sz w:val="16"/>
                <w:szCs w:val="16"/>
              </w:rPr>
            </w:pPr>
            <w:r w:rsidRPr="009B79E1">
              <w:rPr>
                <w:rFonts w:ascii="Verdana" w:hAnsi="Verdana"/>
                <w:b/>
                <w:color w:val="FFFFFF" w:themeColor="background1"/>
                <w:sz w:val="16"/>
                <w:szCs w:val="16"/>
              </w:rPr>
              <w:t>182</w:t>
            </w:r>
          </w:p>
        </w:tc>
      </w:tr>
    </w:tbl>
    <w:p w:rsidR="008F5F9B" w:rsidRDefault="008F5F9B" w:rsidP="008F5F9B">
      <w:pPr>
        <w:jc w:val="center"/>
        <w:rPr>
          <w:rFonts w:ascii="Arial" w:hAnsi="Arial" w:cs="Arial"/>
          <w:i/>
          <w:sz w:val="16"/>
          <w:szCs w:val="16"/>
        </w:rPr>
      </w:pPr>
    </w:p>
    <w:p w:rsidR="008F5F9B" w:rsidRPr="00F37E1B" w:rsidRDefault="008F5F9B" w:rsidP="008F5F9B">
      <w:pPr>
        <w:jc w:val="center"/>
        <w:rPr>
          <w:rFonts w:ascii="Arial" w:hAnsi="Arial" w:cs="Arial"/>
          <w:i/>
          <w:sz w:val="16"/>
          <w:szCs w:val="16"/>
        </w:rPr>
      </w:pPr>
      <w:r w:rsidRPr="00057655">
        <w:rPr>
          <w:rFonts w:ascii="Arial" w:hAnsi="Arial" w:cs="Arial"/>
          <w:i/>
          <w:sz w:val="16"/>
          <w:szCs w:val="16"/>
        </w:rPr>
        <w:t>Cuadro 2</w:t>
      </w:r>
    </w:p>
    <w:p w:rsidR="008F5F9B" w:rsidRDefault="008F5F9B" w:rsidP="008F5F9B">
      <w:pPr>
        <w:spacing w:line="360" w:lineRule="auto"/>
        <w:jc w:val="both"/>
        <w:rPr>
          <w:sz w:val="24"/>
          <w:szCs w:val="24"/>
        </w:rPr>
      </w:pPr>
      <w:r>
        <w:rPr>
          <w:sz w:val="24"/>
          <w:szCs w:val="24"/>
        </w:rPr>
        <w:t xml:space="preserve">         </w:t>
      </w:r>
    </w:p>
    <w:p w:rsidR="00AA6049" w:rsidRDefault="00894A2B" w:rsidP="008F5F9B">
      <w:pPr>
        <w:spacing w:line="360" w:lineRule="auto"/>
        <w:jc w:val="both"/>
        <w:rPr>
          <w:rFonts w:ascii="Arial" w:hAnsi="Arial" w:cs="Arial"/>
          <w:sz w:val="24"/>
          <w:szCs w:val="24"/>
        </w:rPr>
      </w:pPr>
      <w:r>
        <w:rPr>
          <w:rFonts w:ascii="Arial" w:hAnsi="Arial" w:cs="Arial"/>
          <w:sz w:val="24"/>
          <w:szCs w:val="24"/>
        </w:rPr>
        <w:lastRenderedPageBreak/>
        <w:t xml:space="preserve">En el cuadro 2 se establece la comparación entre el total de ingresantes discriminados por carrera, la cantidad de alumnos en situación de riesgo, la cantidad de alumnos que respondieron a la intervención tutorial y la cantidad de alumnos que conservaron la regularidad. </w:t>
      </w:r>
      <w:r w:rsidR="008F5F9B" w:rsidRPr="008F5F9B">
        <w:rPr>
          <w:rFonts w:ascii="Arial" w:hAnsi="Arial" w:cs="Arial"/>
          <w:sz w:val="24"/>
          <w:szCs w:val="24"/>
        </w:rPr>
        <w:t>Sobre un total de mil seiscientos dos (1602) alumnos ingresantes al Departamento de Ciencias Económicas, quedaron en situación de riesgo pedagógico cuatrocientos setenta y dos (472), es decir el 29%.  Respondieron a la intervención tutorial el 72%, es decir,  trescientos treinta y ocho (338) alumnos. El 54% de los alumnos que respondieron a la intervención tutorial (182) conservaron la regularidad.</w:t>
      </w:r>
    </w:p>
    <w:p w:rsidR="008F5F9B" w:rsidRPr="00AA6049" w:rsidRDefault="00894A2B" w:rsidP="008F5F9B">
      <w:pPr>
        <w:spacing w:line="360" w:lineRule="auto"/>
        <w:jc w:val="both"/>
        <w:rPr>
          <w:rFonts w:ascii="Arial" w:hAnsi="Arial" w:cs="Arial"/>
          <w:sz w:val="24"/>
          <w:szCs w:val="24"/>
        </w:rPr>
      </w:pPr>
      <w:r>
        <w:rPr>
          <w:rFonts w:ascii="Arial" w:hAnsi="Arial" w:cs="Arial"/>
          <w:sz w:val="24"/>
          <w:szCs w:val="24"/>
        </w:rPr>
        <w:t>E</w:t>
      </w:r>
      <w:r w:rsidR="008F5F9B">
        <w:rPr>
          <w:rFonts w:ascii="Arial" w:hAnsi="Arial" w:cs="Arial"/>
          <w:sz w:val="24"/>
          <w:szCs w:val="24"/>
        </w:rPr>
        <w:t>l</w:t>
      </w:r>
      <w:r w:rsidR="008F5F9B" w:rsidRPr="008F5F9B">
        <w:rPr>
          <w:rFonts w:ascii="Arial" w:hAnsi="Arial" w:cs="Arial"/>
          <w:sz w:val="24"/>
          <w:szCs w:val="24"/>
        </w:rPr>
        <w:t xml:space="preserve"> cuadro</w:t>
      </w:r>
      <w:r w:rsidR="008F5F9B">
        <w:rPr>
          <w:rFonts w:ascii="Arial" w:hAnsi="Arial" w:cs="Arial"/>
          <w:sz w:val="24"/>
          <w:szCs w:val="24"/>
        </w:rPr>
        <w:t xml:space="preserve"> 3</w:t>
      </w:r>
      <w:r>
        <w:rPr>
          <w:rFonts w:ascii="Arial" w:hAnsi="Arial" w:cs="Arial"/>
          <w:sz w:val="24"/>
          <w:szCs w:val="24"/>
        </w:rPr>
        <w:t xml:space="preserve"> refleja</w:t>
      </w:r>
      <w:r w:rsidR="008F5F9B" w:rsidRPr="008F5F9B">
        <w:rPr>
          <w:rFonts w:ascii="Arial" w:hAnsi="Arial" w:cs="Arial"/>
          <w:sz w:val="24"/>
          <w:szCs w:val="24"/>
        </w:rPr>
        <w:t xml:space="preserve"> los resultados cuantitativos</w:t>
      </w:r>
      <w:r w:rsidR="008F5F9B">
        <w:rPr>
          <w:rFonts w:ascii="Arial" w:hAnsi="Arial" w:cs="Arial"/>
          <w:sz w:val="24"/>
          <w:szCs w:val="24"/>
        </w:rPr>
        <w:t xml:space="preserve"> obtenidos en la carrera de Contador Público</w:t>
      </w:r>
      <w:r w:rsidR="008F5F9B" w:rsidRPr="008F5F9B">
        <w:rPr>
          <w:rFonts w:ascii="Arial" w:hAnsi="Arial" w:cs="Arial"/>
          <w:sz w:val="24"/>
          <w:szCs w:val="24"/>
        </w:rPr>
        <w:t>.</w:t>
      </w:r>
    </w:p>
    <w:tbl>
      <w:tblPr>
        <w:tblStyle w:val="Cuadrculaclara-nfasis11"/>
        <w:tblW w:w="0" w:type="auto"/>
        <w:jc w:val="center"/>
        <w:tblInd w:w="27" w:type="dxa"/>
        <w:tblLook w:val="04A0"/>
      </w:tblPr>
      <w:tblGrid>
        <w:gridCol w:w="1857"/>
        <w:gridCol w:w="1241"/>
        <w:gridCol w:w="1984"/>
        <w:gridCol w:w="1985"/>
        <w:gridCol w:w="2087"/>
      </w:tblGrid>
      <w:tr w:rsidR="008F5F9B" w:rsidRPr="00D7733C" w:rsidTr="0031006A">
        <w:trPr>
          <w:cnfStyle w:val="100000000000"/>
          <w:trHeight w:val="972"/>
          <w:jc w:val="center"/>
        </w:trPr>
        <w:tc>
          <w:tcPr>
            <w:cnfStyle w:val="001000000000"/>
            <w:tcW w:w="1857" w:type="dxa"/>
            <w:tcBorders>
              <w:top w:val="single" w:sz="18" w:space="0" w:color="4F81BD" w:themeColor="accent1"/>
              <w:left w:val="single" w:sz="18" w:space="0" w:color="4F81BD" w:themeColor="accent1"/>
              <w:right w:val="single" w:sz="18" w:space="0" w:color="4F81BD" w:themeColor="accent1"/>
            </w:tcBorders>
            <w:shd w:val="clear" w:color="auto" w:fill="1F497D" w:themeFill="text2"/>
          </w:tcPr>
          <w:p w:rsidR="008F5F9B" w:rsidRPr="001E2BDB" w:rsidRDefault="008F5F9B" w:rsidP="0031006A">
            <w:pPr>
              <w:rPr>
                <w:rFonts w:ascii="Verdana" w:hAnsi="Verdana"/>
                <w:color w:val="FFFFFF" w:themeColor="background1"/>
                <w:sz w:val="14"/>
                <w:szCs w:val="14"/>
              </w:rPr>
            </w:pPr>
          </w:p>
          <w:p w:rsidR="008F5F9B" w:rsidRPr="001E2BDB" w:rsidRDefault="008F5F9B" w:rsidP="0031006A">
            <w:pPr>
              <w:rPr>
                <w:rFonts w:ascii="Verdana" w:hAnsi="Verdana"/>
                <w:color w:val="FFFFFF" w:themeColor="background1"/>
                <w:sz w:val="14"/>
                <w:szCs w:val="14"/>
              </w:rPr>
            </w:pPr>
          </w:p>
          <w:p w:rsidR="008F5F9B" w:rsidRPr="001E2BDB" w:rsidRDefault="008F5F9B" w:rsidP="0031006A">
            <w:pPr>
              <w:jc w:val="center"/>
              <w:rPr>
                <w:rFonts w:ascii="Verdana" w:hAnsi="Verdana"/>
                <w:color w:val="FFFFFF" w:themeColor="background1"/>
                <w:sz w:val="14"/>
                <w:szCs w:val="14"/>
              </w:rPr>
            </w:pPr>
          </w:p>
          <w:p w:rsidR="008F5F9B" w:rsidRPr="001E2BDB" w:rsidRDefault="008F5F9B" w:rsidP="0031006A">
            <w:pPr>
              <w:jc w:val="center"/>
              <w:rPr>
                <w:rFonts w:ascii="Verdana" w:hAnsi="Verdana"/>
                <w:color w:val="FFFFFF" w:themeColor="background1"/>
                <w:sz w:val="14"/>
                <w:szCs w:val="14"/>
              </w:rPr>
            </w:pPr>
            <w:r w:rsidRPr="001E2BDB">
              <w:rPr>
                <w:rFonts w:ascii="Verdana" w:hAnsi="Verdana"/>
                <w:color w:val="FFFFFF" w:themeColor="background1"/>
                <w:sz w:val="14"/>
                <w:szCs w:val="14"/>
              </w:rPr>
              <w:t>CARRERA</w:t>
            </w:r>
          </w:p>
        </w:tc>
        <w:tc>
          <w:tcPr>
            <w:tcW w:w="1235" w:type="dxa"/>
            <w:tcBorders>
              <w:top w:val="single" w:sz="12" w:space="0" w:color="4F81BD" w:themeColor="accent1"/>
              <w:left w:val="single" w:sz="18" w:space="0" w:color="4F81BD" w:themeColor="accent1"/>
              <w:bottom w:val="single" w:sz="12" w:space="0" w:color="4F81BD" w:themeColor="accent1"/>
              <w:right w:val="single" w:sz="18" w:space="0" w:color="4F81BD" w:themeColor="accent1"/>
            </w:tcBorders>
            <w:shd w:val="clear" w:color="auto" w:fill="DBE5F1" w:themeFill="accent1" w:themeFillTint="33"/>
          </w:tcPr>
          <w:p w:rsidR="008F5F9B" w:rsidRPr="001E2BDB" w:rsidRDefault="008F5F9B" w:rsidP="0031006A">
            <w:pPr>
              <w:jc w:val="center"/>
              <w:cnfStyle w:val="100000000000"/>
              <w:rPr>
                <w:rFonts w:ascii="Verdana" w:hAnsi="Verdana"/>
                <w:b w:val="0"/>
                <w:sz w:val="14"/>
                <w:szCs w:val="14"/>
              </w:rPr>
            </w:pPr>
          </w:p>
          <w:p w:rsidR="008F5F9B" w:rsidRPr="001E2BDB" w:rsidRDefault="008F5F9B" w:rsidP="0031006A">
            <w:pPr>
              <w:jc w:val="center"/>
              <w:cnfStyle w:val="100000000000"/>
              <w:rPr>
                <w:rFonts w:ascii="Verdana" w:hAnsi="Verdana"/>
                <w:b w:val="0"/>
                <w:sz w:val="14"/>
                <w:szCs w:val="14"/>
              </w:rPr>
            </w:pPr>
          </w:p>
          <w:p w:rsidR="008F5F9B" w:rsidRPr="001E2BDB" w:rsidRDefault="008F5F9B" w:rsidP="0031006A">
            <w:pPr>
              <w:jc w:val="center"/>
              <w:cnfStyle w:val="100000000000"/>
              <w:rPr>
                <w:rFonts w:ascii="Verdana" w:hAnsi="Verdana"/>
                <w:b w:val="0"/>
                <w:sz w:val="14"/>
                <w:szCs w:val="14"/>
              </w:rPr>
            </w:pPr>
            <w:r w:rsidRPr="001E2BDB">
              <w:rPr>
                <w:rFonts w:ascii="Verdana" w:hAnsi="Verdana"/>
                <w:b w:val="0"/>
                <w:sz w:val="14"/>
                <w:szCs w:val="14"/>
              </w:rPr>
              <w:t>TOTAL DE ALUMNOS INGRESANTES</w:t>
            </w:r>
          </w:p>
        </w:tc>
        <w:tc>
          <w:tcPr>
            <w:tcW w:w="1984" w:type="dxa"/>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Pr="001E2BDB" w:rsidRDefault="008F5F9B" w:rsidP="0031006A">
            <w:pPr>
              <w:jc w:val="center"/>
              <w:cnfStyle w:val="100000000000"/>
              <w:rPr>
                <w:rFonts w:ascii="Verdana" w:hAnsi="Verdana"/>
                <w:b w:val="0"/>
                <w:sz w:val="14"/>
                <w:szCs w:val="14"/>
              </w:rPr>
            </w:pPr>
          </w:p>
          <w:p w:rsidR="008F5F9B" w:rsidRPr="001E2BDB" w:rsidRDefault="008F5F9B" w:rsidP="0031006A">
            <w:pPr>
              <w:jc w:val="center"/>
              <w:cnfStyle w:val="100000000000"/>
              <w:rPr>
                <w:rFonts w:ascii="Verdana" w:hAnsi="Verdana"/>
                <w:b w:val="0"/>
                <w:sz w:val="14"/>
                <w:szCs w:val="14"/>
              </w:rPr>
            </w:pPr>
            <w:r w:rsidRPr="001E2BDB">
              <w:rPr>
                <w:rFonts w:ascii="Verdana" w:hAnsi="Verdana"/>
                <w:b w:val="0"/>
                <w:sz w:val="14"/>
                <w:szCs w:val="14"/>
              </w:rPr>
              <w:t>CANTIDAD DE ALUMNOS EN RIESGO</w:t>
            </w:r>
          </w:p>
          <w:p w:rsidR="008F5F9B" w:rsidRPr="001E2BDB" w:rsidRDefault="008F5F9B" w:rsidP="0031006A">
            <w:pPr>
              <w:jc w:val="center"/>
              <w:cnfStyle w:val="100000000000"/>
              <w:rPr>
                <w:rFonts w:ascii="Verdana" w:hAnsi="Verdana"/>
                <w:b w:val="0"/>
                <w:sz w:val="14"/>
                <w:szCs w:val="14"/>
              </w:rPr>
            </w:pPr>
            <w:r w:rsidRPr="001E2BDB">
              <w:rPr>
                <w:rFonts w:ascii="Verdana" w:hAnsi="Verdana"/>
                <w:b w:val="0"/>
                <w:sz w:val="14"/>
                <w:szCs w:val="14"/>
              </w:rPr>
              <w:t>DESPUES DEL PRIMER CUATRIMESTRE</w:t>
            </w:r>
          </w:p>
        </w:tc>
        <w:tc>
          <w:tcPr>
            <w:tcW w:w="198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Pr="001E2BDB" w:rsidRDefault="008F5F9B" w:rsidP="0031006A">
            <w:pPr>
              <w:cnfStyle w:val="100000000000"/>
              <w:rPr>
                <w:rFonts w:ascii="Verdana" w:hAnsi="Verdana"/>
                <w:b w:val="0"/>
                <w:sz w:val="14"/>
                <w:szCs w:val="14"/>
              </w:rPr>
            </w:pPr>
          </w:p>
          <w:p w:rsidR="008F5F9B" w:rsidRPr="00976378" w:rsidRDefault="008F5F9B" w:rsidP="0031006A">
            <w:pPr>
              <w:jc w:val="center"/>
              <w:cnfStyle w:val="100000000000"/>
              <w:rPr>
                <w:rFonts w:ascii="Verdana" w:hAnsi="Verdana"/>
                <w:bCs w:val="0"/>
                <w:sz w:val="14"/>
                <w:szCs w:val="14"/>
              </w:rPr>
            </w:pPr>
            <w:r w:rsidRPr="001E2BDB">
              <w:rPr>
                <w:rFonts w:ascii="Verdana" w:hAnsi="Verdana"/>
                <w:b w:val="0"/>
                <w:sz w:val="14"/>
                <w:szCs w:val="14"/>
              </w:rPr>
              <w:t>CANTIDAD DE ALUMNOS QUE RESPONDIERON A LA INTERVENCIÓN TUTORIAL</w:t>
            </w:r>
          </w:p>
        </w:tc>
        <w:tc>
          <w:tcPr>
            <w:tcW w:w="208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tcPr>
          <w:p w:rsidR="008F5F9B" w:rsidRPr="001E2BDB" w:rsidRDefault="008F5F9B" w:rsidP="0031006A">
            <w:pPr>
              <w:cnfStyle w:val="100000000000"/>
              <w:rPr>
                <w:rFonts w:ascii="Verdana" w:hAnsi="Verdana"/>
                <w:color w:val="FFFFFF" w:themeColor="background1"/>
                <w:sz w:val="14"/>
                <w:szCs w:val="14"/>
              </w:rPr>
            </w:pPr>
          </w:p>
          <w:p w:rsidR="008F5F9B" w:rsidRPr="001E2BDB" w:rsidRDefault="008F5F9B" w:rsidP="0031006A">
            <w:pPr>
              <w:jc w:val="center"/>
              <w:cnfStyle w:val="100000000000"/>
              <w:rPr>
                <w:rFonts w:ascii="Verdana" w:hAnsi="Verdana"/>
                <w:color w:val="FFFFFF" w:themeColor="background1"/>
                <w:sz w:val="14"/>
                <w:szCs w:val="14"/>
              </w:rPr>
            </w:pPr>
            <w:r w:rsidRPr="001E2BDB">
              <w:rPr>
                <w:rFonts w:ascii="Verdana" w:hAnsi="Verdana"/>
                <w:color w:val="FFFFFF" w:themeColor="background1"/>
                <w:sz w:val="14"/>
                <w:szCs w:val="14"/>
              </w:rPr>
              <w:t>CANTIDAD DE ALUMNOS QUE CONSERVARON LA REGULARIDAD</w:t>
            </w:r>
          </w:p>
        </w:tc>
      </w:tr>
      <w:tr w:rsidR="008F5F9B" w:rsidRPr="00D7733C" w:rsidTr="0031006A">
        <w:trPr>
          <w:cnfStyle w:val="000000100000"/>
          <w:trHeight w:val="426"/>
          <w:jc w:val="center"/>
        </w:trPr>
        <w:tc>
          <w:tcPr>
            <w:cnfStyle w:val="001000000000"/>
            <w:tcW w:w="1857" w:type="dxa"/>
            <w:vMerge w:val="restart"/>
            <w:tcBorders>
              <w:top w:val="single" w:sz="18" w:space="0" w:color="4F81BD" w:themeColor="accent1"/>
              <w:left w:val="single" w:sz="18" w:space="0" w:color="4F81BD" w:themeColor="accent1"/>
              <w:right w:val="single" w:sz="18" w:space="0" w:color="4F81BD" w:themeColor="accent1"/>
            </w:tcBorders>
            <w:shd w:val="clear" w:color="auto" w:fill="1F497D" w:themeFill="text2"/>
          </w:tcPr>
          <w:p w:rsidR="008F5F9B" w:rsidRDefault="008F5F9B" w:rsidP="0031006A">
            <w:pPr>
              <w:rPr>
                <w:rFonts w:ascii="Verdana" w:hAnsi="Verdana"/>
                <w:color w:val="FFFFFF" w:themeColor="background1"/>
                <w:sz w:val="18"/>
                <w:szCs w:val="18"/>
              </w:rPr>
            </w:pPr>
          </w:p>
          <w:p w:rsidR="008F5F9B" w:rsidRPr="00976378" w:rsidRDefault="008F5F9B" w:rsidP="0031006A">
            <w:pPr>
              <w:rPr>
                <w:rFonts w:ascii="Verdana" w:hAnsi="Verdana"/>
                <w:color w:val="FFFFFF" w:themeColor="background1"/>
                <w:sz w:val="16"/>
                <w:szCs w:val="16"/>
              </w:rPr>
            </w:pPr>
            <w:r w:rsidRPr="00976378">
              <w:rPr>
                <w:rFonts w:ascii="Verdana" w:hAnsi="Verdana"/>
                <w:color w:val="FFFFFF" w:themeColor="background1"/>
                <w:sz w:val="16"/>
                <w:szCs w:val="16"/>
              </w:rPr>
              <w:t>Contador Público</w:t>
            </w:r>
          </w:p>
        </w:tc>
        <w:tc>
          <w:tcPr>
            <w:tcW w:w="1235" w:type="dxa"/>
            <w:vMerge w:val="restart"/>
            <w:tcBorders>
              <w:top w:val="single" w:sz="12" w:space="0" w:color="4F81BD" w:themeColor="accent1"/>
              <w:left w:val="single" w:sz="18" w:space="0" w:color="4F81BD" w:themeColor="accent1"/>
              <w:right w:val="single" w:sz="18" w:space="0" w:color="4F81BD" w:themeColor="accent1"/>
            </w:tcBorders>
            <w:shd w:val="clear" w:color="auto" w:fill="DBE5F1" w:themeFill="accent1" w:themeFillTint="33"/>
          </w:tcPr>
          <w:p w:rsidR="008F5F9B" w:rsidRDefault="008F5F9B" w:rsidP="0031006A">
            <w:pPr>
              <w:jc w:val="center"/>
              <w:cnfStyle w:val="000000100000"/>
              <w:rPr>
                <w:rFonts w:ascii="Verdana" w:hAnsi="Verdana"/>
                <w:b/>
                <w:sz w:val="16"/>
                <w:szCs w:val="16"/>
              </w:rPr>
            </w:pPr>
          </w:p>
          <w:p w:rsidR="008F5F9B" w:rsidRDefault="008F5F9B" w:rsidP="0031006A">
            <w:pPr>
              <w:jc w:val="center"/>
              <w:cnfStyle w:val="000000100000"/>
              <w:rPr>
                <w:rFonts w:ascii="Verdana" w:hAnsi="Verdana"/>
                <w:b/>
                <w:sz w:val="16"/>
                <w:szCs w:val="16"/>
              </w:rPr>
            </w:pPr>
            <w:r>
              <w:rPr>
                <w:rFonts w:ascii="Verdana" w:hAnsi="Verdana"/>
                <w:b/>
                <w:sz w:val="16"/>
                <w:szCs w:val="16"/>
              </w:rPr>
              <w:t>810</w:t>
            </w:r>
          </w:p>
        </w:tc>
        <w:tc>
          <w:tcPr>
            <w:tcW w:w="1984" w:type="dxa"/>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Default="008F5F9B" w:rsidP="0031006A">
            <w:pPr>
              <w:jc w:val="center"/>
              <w:cnfStyle w:val="000000100000"/>
              <w:rPr>
                <w:rFonts w:ascii="Verdana" w:hAnsi="Verdana"/>
                <w:b/>
                <w:sz w:val="16"/>
                <w:szCs w:val="16"/>
              </w:rPr>
            </w:pPr>
            <w:r>
              <w:rPr>
                <w:rFonts w:ascii="Verdana" w:hAnsi="Verdana"/>
                <w:b/>
                <w:sz w:val="16"/>
                <w:szCs w:val="16"/>
              </w:rPr>
              <w:t>257</w:t>
            </w:r>
          </w:p>
        </w:tc>
        <w:tc>
          <w:tcPr>
            <w:tcW w:w="198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Pr="00D7733C" w:rsidRDefault="008F5F9B" w:rsidP="0031006A">
            <w:pPr>
              <w:jc w:val="center"/>
              <w:cnfStyle w:val="000000100000"/>
              <w:rPr>
                <w:rFonts w:ascii="Verdana" w:hAnsi="Verdana"/>
                <w:b/>
                <w:sz w:val="16"/>
                <w:szCs w:val="16"/>
              </w:rPr>
            </w:pPr>
            <w:r>
              <w:rPr>
                <w:rFonts w:ascii="Verdana" w:hAnsi="Verdana"/>
                <w:b/>
                <w:sz w:val="16"/>
                <w:szCs w:val="16"/>
              </w:rPr>
              <w:t>169</w:t>
            </w:r>
          </w:p>
        </w:tc>
        <w:tc>
          <w:tcPr>
            <w:tcW w:w="208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tcPr>
          <w:p w:rsidR="008F5F9B" w:rsidRPr="00391245" w:rsidRDefault="008F5F9B" w:rsidP="0031006A">
            <w:pPr>
              <w:jc w:val="center"/>
              <w:cnfStyle w:val="000000100000"/>
              <w:rPr>
                <w:rFonts w:ascii="Verdana" w:hAnsi="Verdana"/>
                <w:b/>
                <w:color w:val="FFFFFF" w:themeColor="background1"/>
                <w:sz w:val="16"/>
                <w:szCs w:val="16"/>
              </w:rPr>
            </w:pPr>
            <w:r w:rsidRPr="00391245">
              <w:rPr>
                <w:rFonts w:ascii="Verdana" w:hAnsi="Verdana"/>
                <w:b/>
                <w:color w:val="FFFFFF" w:themeColor="background1"/>
                <w:sz w:val="16"/>
                <w:szCs w:val="16"/>
              </w:rPr>
              <w:t>130</w:t>
            </w:r>
          </w:p>
        </w:tc>
      </w:tr>
      <w:tr w:rsidR="008F5F9B" w:rsidRPr="00D7733C" w:rsidTr="0031006A">
        <w:trPr>
          <w:cnfStyle w:val="000000010000"/>
          <w:trHeight w:val="426"/>
          <w:jc w:val="center"/>
        </w:trPr>
        <w:tc>
          <w:tcPr>
            <w:cnfStyle w:val="001000000000"/>
            <w:tcW w:w="1857" w:type="dxa"/>
            <w:vMerge/>
            <w:tcBorders>
              <w:left w:val="single" w:sz="18" w:space="0" w:color="4F81BD" w:themeColor="accent1"/>
              <w:right w:val="single" w:sz="18" w:space="0" w:color="4F81BD" w:themeColor="accent1"/>
            </w:tcBorders>
            <w:shd w:val="clear" w:color="auto" w:fill="1F497D" w:themeFill="text2"/>
          </w:tcPr>
          <w:p w:rsidR="008F5F9B" w:rsidRDefault="008F5F9B" w:rsidP="0031006A">
            <w:pPr>
              <w:rPr>
                <w:rFonts w:ascii="Verdana" w:hAnsi="Verdana"/>
                <w:color w:val="FFFFFF" w:themeColor="background1"/>
                <w:sz w:val="18"/>
                <w:szCs w:val="18"/>
              </w:rPr>
            </w:pPr>
          </w:p>
        </w:tc>
        <w:tc>
          <w:tcPr>
            <w:tcW w:w="1235" w:type="dxa"/>
            <w:vMerge/>
            <w:tcBorders>
              <w:left w:val="single" w:sz="18" w:space="0" w:color="4F81BD" w:themeColor="accent1"/>
              <w:right w:val="single" w:sz="18" w:space="0" w:color="4F81BD" w:themeColor="accent1"/>
            </w:tcBorders>
            <w:shd w:val="clear" w:color="auto" w:fill="DBE5F1" w:themeFill="accent1" w:themeFillTint="33"/>
          </w:tcPr>
          <w:p w:rsidR="008F5F9B" w:rsidRDefault="008F5F9B" w:rsidP="0031006A">
            <w:pPr>
              <w:jc w:val="center"/>
              <w:cnfStyle w:val="000000010000"/>
              <w:rPr>
                <w:rFonts w:ascii="Verdana" w:hAnsi="Verdana"/>
                <w:b/>
                <w:sz w:val="16"/>
                <w:szCs w:val="16"/>
              </w:rPr>
            </w:pPr>
          </w:p>
        </w:tc>
        <w:tc>
          <w:tcPr>
            <w:tcW w:w="1984" w:type="dxa"/>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Default="008F5F9B" w:rsidP="0031006A">
            <w:pPr>
              <w:jc w:val="center"/>
              <w:cnfStyle w:val="000000010000"/>
              <w:rPr>
                <w:rFonts w:ascii="Verdana" w:hAnsi="Verdana"/>
                <w:b/>
                <w:sz w:val="16"/>
                <w:szCs w:val="16"/>
              </w:rPr>
            </w:pPr>
            <w:r>
              <w:rPr>
                <w:rFonts w:ascii="Verdana" w:hAnsi="Verdana"/>
                <w:b/>
                <w:sz w:val="16"/>
                <w:szCs w:val="16"/>
              </w:rPr>
              <w:t>32%</w:t>
            </w:r>
          </w:p>
        </w:tc>
        <w:tc>
          <w:tcPr>
            <w:tcW w:w="198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8F5F9B" w:rsidRDefault="008F5F9B" w:rsidP="0031006A">
            <w:pPr>
              <w:jc w:val="center"/>
              <w:cnfStyle w:val="000000010000"/>
              <w:rPr>
                <w:rFonts w:ascii="Verdana" w:hAnsi="Verdana"/>
                <w:b/>
                <w:sz w:val="16"/>
                <w:szCs w:val="16"/>
              </w:rPr>
            </w:pPr>
            <w:r>
              <w:rPr>
                <w:rFonts w:ascii="Verdana" w:hAnsi="Verdana"/>
                <w:b/>
                <w:sz w:val="16"/>
                <w:szCs w:val="16"/>
              </w:rPr>
              <w:t>66%</w:t>
            </w:r>
          </w:p>
        </w:tc>
        <w:tc>
          <w:tcPr>
            <w:tcW w:w="2087" w:type="dxa"/>
            <w:tcBorders>
              <w:top w:val="single" w:sz="12" w:space="0" w:color="4F81BD" w:themeColor="accent1"/>
              <w:left w:val="single" w:sz="12" w:space="0" w:color="4F81BD" w:themeColor="accent1"/>
              <w:right w:val="single" w:sz="12" w:space="0" w:color="4F81BD" w:themeColor="accent1"/>
            </w:tcBorders>
            <w:shd w:val="clear" w:color="auto" w:fill="1F497D" w:themeFill="text2"/>
          </w:tcPr>
          <w:p w:rsidR="008F5F9B" w:rsidRPr="00391245" w:rsidRDefault="008F5F9B" w:rsidP="0031006A">
            <w:pPr>
              <w:jc w:val="center"/>
              <w:cnfStyle w:val="000000010000"/>
              <w:rPr>
                <w:rFonts w:ascii="Verdana" w:hAnsi="Verdana"/>
                <w:b/>
                <w:color w:val="FFFFFF" w:themeColor="background1"/>
                <w:sz w:val="16"/>
                <w:szCs w:val="16"/>
              </w:rPr>
            </w:pPr>
            <w:r>
              <w:rPr>
                <w:rFonts w:ascii="Verdana" w:hAnsi="Verdana"/>
                <w:b/>
                <w:color w:val="FFFFFF" w:themeColor="background1"/>
                <w:sz w:val="16"/>
                <w:szCs w:val="16"/>
              </w:rPr>
              <w:t>77%</w:t>
            </w:r>
          </w:p>
        </w:tc>
      </w:tr>
    </w:tbl>
    <w:p w:rsidR="008F5F9B" w:rsidRDefault="008F5F9B" w:rsidP="003209A5">
      <w:pPr>
        <w:jc w:val="center"/>
        <w:rPr>
          <w:rFonts w:ascii="Arial" w:hAnsi="Arial" w:cs="Arial"/>
          <w:i/>
          <w:sz w:val="16"/>
          <w:szCs w:val="16"/>
        </w:rPr>
      </w:pPr>
    </w:p>
    <w:p w:rsidR="008F5F9B" w:rsidRDefault="008F5F9B" w:rsidP="003209A5">
      <w:pPr>
        <w:jc w:val="center"/>
        <w:rPr>
          <w:rFonts w:ascii="Arial" w:hAnsi="Arial" w:cs="Arial"/>
          <w:i/>
          <w:sz w:val="16"/>
          <w:szCs w:val="16"/>
        </w:rPr>
      </w:pPr>
      <w:r w:rsidRPr="00057655">
        <w:rPr>
          <w:rFonts w:ascii="Arial" w:hAnsi="Arial" w:cs="Arial"/>
          <w:i/>
          <w:sz w:val="16"/>
          <w:szCs w:val="16"/>
        </w:rPr>
        <w:t xml:space="preserve">Cuadro </w:t>
      </w:r>
      <w:r>
        <w:rPr>
          <w:rFonts w:ascii="Arial" w:hAnsi="Arial" w:cs="Arial"/>
          <w:i/>
          <w:sz w:val="16"/>
          <w:szCs w:val="16"/>
        </w:rPr>
        <w:t>3</w:t>
      </w:r>
    </w:p>
    <w:p w:rsidR="00885D7B" w:rsidRPr="003209A5" w:rsidRDefault="008F5F9B" w:rsidP="003209A5">
      <w:pPr>
        <w:spacing w:line="360" w:lineRule="auto"/>
        <w:jc w:val="both"/>
        <w:rPr>
          <w:rFonts w:ascii="Arial" w:hAnsi="Arial" w:cs="Arial"/>
          <w:sz w:val="24"/>
          <w:szCs w:val="24"/>
        </w:rPr>
      </w:pPr>
      <w:r w:rsidRPr="008F5F9B">
        <w:rPr>
          <w:rFonts w:ascii="Arial" w:hAnsi="Arial" w:cs="Arial"/>
          <w:sz w:val="24"/>
          <w:szCs w:val="24"/>
        </w:rPr>
        <w:t>Sobre un total de (810) ochocientos diez ingresantes a la carrera de Contador Público quedaron en situación de riesgo pedagógico (257) doscientos cincuenta y siete alumnos, es decir, el 32%. El 66% respondió a la intervención tutorial (169) y el 77% (130)</w:t>
      </w:r>
      <w:r w:rsidR="00315029">
        <w:rPr>
          <w:rFonts w:ascii="Arial" w:hAnsi="Arial" w:cs="Arial"/>
          <w:sz w:val="24"/>
          <w:szCs w:val="24"/>
        </w:rPr>
        <w:t xml:space="preserve"> conservó</w:t>
      </w:r>
      <w:r w:rsidRPr="008F5F9B">
        <w:rPr>
          <w:rFonts w:ascii="Arial" w:hAnsi="Arial" w:cs="Arial"/>
          <w:sz w:val="24"/>
          <w:szCs w:val="24"/>
        </w:rPr>
        <w:t xml:space="preserve"> la regularidad.</w:t>
      </w:r>
    </w:p>
    <w:p w:rsidR="00BA3DA3" w:rsidRPr="00885D7B" w:rsidRDefault="000C0585" w:rsidP="00885D7B">
      <w:pPr>
        <w:jc w:val="center"/>
        <w:rPr>
          <w:rFonts w:ascii="Verdana" w:hAnsi="Verdana" w:cstheme="minorBidi"/>
          <w:i/>
          <w:sz w:val="16"/>
          <w:szCs w:val="16"/>
        </w:rPr>
      </w:pPr>
      <w:r>
        <w:rPr>
          <w:rFonts w:ascii="Arial" w:hAnsi="Arial" w:cs="Arial"/>
          <w:i/>
          <w:sz w:val="16"/>
          <w:szCs w:val="16"/>
        </w:rPr>
        <w:t xml:space="preserve">                                                           </w:t>
      </w:r>
      <w:r w:rsidR="00885D7B">
        <w:rPr>
          <w:rFonts w:ascii="Arial" w:hAnsi="Arial" w:cs="Arial"/>
          <w:i/>
          <w:sz w:val="16"/>
          <w:szCs w:val="16"/>
        </w:rPr>
        <w:t xml:space="preserve">                             </w:t>
      </w:r>
    </w:p>
    <w:p w:rsidR="000C0585" w:rsidRDefault="000C0585" w:rsidP="00BA3DA3">
      <w:pPr>
        <w:spacing w:after="240" w:line="276" w:lineRule="auto"/>
        <w:jc w:val="both"/>
        <w:rPr>
          <w:rFonts w:ascii="Arial" w:hAnsi="Arial" w:cs="Arial"/>
          <w:sz w:val="24"/>
          <w:szCs w:val="24"/>
        </w:rPr>
      </w:pPr>
      <w:r>
        <w:rPr>
          <w:rFonts w:ascii="Arial" w:hAnsi="Arial" w:cs="Arial"/>
          <w:b/>
          <w:sz w:val="24"/>
          <w:szCs w:val="24"/>
        </w:rPr>
        <w:t>Algunas consideraciones</w:t>
      </w:r>
      <w:r w:rsidR="00092D53" w:rsidRPr="00471A5C">
        <w:rPr>
          <w:rFonts w:ascii="Arial" w:hAnsi="Arial" w:cs="Arial"/>
          <w:b/>
          <w:sz w:val="24"/>
          <w:szCs w:val="24"/>
        </w:rPr>
        <w:t>.</w:t>
      </w:r>
    </w:p>
    <w:p w:rsidR="00092D53" w:rsidRPr="002568E8" w:rsidRDefault="001F7815" w:rsidP="00BA3DA3">
      <w:pPr>
        <w:spacing w:line="360" w:lineRule="auto"/>
        <w:jc w:val="both"/>
        <w:rPr>
          <w:rFonts w:ascii="Arial" w:hAnsi="Arial" w:cs="Arial"/>
          <w:sz w:val="24"/>
          <w:szCs w:val="24"/>
        </w:rPr>
      </w:pPr>
      <w:r>
        <w:rPr>
          <w:rFonts w:ascii="Arial" w:hAnsi="Arial" w:cs="Arial"/>
          <w:sz w:val="24"/>
          <w:szCs w:val="24"/>
        </w:rPr>
        <w:t>Somos conscientes que m</w:t>
      </w:r>
      <w:r w:rsidR="00092D53" w:rsidRPr="002568E8">
        <w:rPr>
          <w:rFonts w:ascii="Arial" w:hAnsi="Arial" w:cs="Arial"/>
          <w:sz w:val="24"/>
          <w:szCs w:val="24"/>
        </w:rPr>
        <w:t xml:space="preserve">ás allá de una simple propuesta cuantitativa el marco en el cual se desarrolla la educación superior en nuestras universidades requiere un nuevo enfoque de la enseñanza orientada al trabajo de los estudiantes.  Desde esta perspectiva, el proceso enseñanza-aprendizaje ha de centrarse más que nunca en el </w:t>
      </w:r>
      <w:r w:rsidR="00092D53" w:rsidRPr="001F7815">
        <w:rPr>
          <w:rFonts w:ascii="Arial" w:hAnsi="Arial" w:cs="Arial"/>
          <w:b/>
          <w:bCs/>
          <w:i/>
          <w:sz w:val="24"/>
          <w:szCs w:val="24"/>
        </w:rPr>
        <w:t>sujeto que aprende</w:t>
      </w:r>
      <w:r w:rsidR="00092D53" w:rsidRPr="002568E8">
        <w:rPr>
          <w:rFonts w:ascii="Arial" w:hAnsi="Arial" w:cs="Arial"/>
          <w:b/>
          <w:bCs/>
          <w:sz w:val="24"/>
          <w:szCs w:val="24"/>
        </w:rPr>
        <w:t xml:space="preserve">. </w:t>
      </w:r>
      <w:r w:rsidR="00092D53" w:rsidRPr="002568E8">
        <w:rPr>
          <w:rFonts w:ascii="Arial" w:hAnsi="Arial" w:cs="Arial"/>
          <w:sz w:val="24"/>
          <w:szCs w:val="24"/>
        </w:rPr>
        <w:t>Es el estudiante quien  ha de afrontar la situación, pero en condiciones facilitadoras de tal aprendizaje. La tarea tutorial forma parte de ese sistema de apoyo que, por lo que concierne a la etapa de formación universitaria, la institución ha de proveer c</w:t>
      </w:r>
      <w:r w:rsidR="001C7C7D">
        <w:rPr>
          <w:rFonts w:ascii="Arial" w:hAnsi="Arial" w:cs="Arial"/>
          <w:sz w:val="24"/>
          <w:szCs w:val="24"/>
        </w:rPr>
        <w:t>omo parte de su servicio. No nos debe</w:t>
      </w:r>
      <w:r w:rsidR="00092D53" w:rsidRPr="002568E8">
        <w:rPr>
          <w:rFonts w:ascii="Arial" w:hAnsi="Arial" w:cs="Arial"/>
          <w:sz w:val="24"/>
          <w:szCs w:val="24"/>
        </w:rPr>
        <w:t xml:space="preserve"> extrañar, por tanto, que  la calidad del sistema tutorial aparezca como </w:t>
      </w:r>
      <w:r w:rsidR="00092D53" w:rsidRPr="002568E8">
        <w:rPr>
          <w:rFonts w:ascii="Arial" w:hAnsi="Arial" w:cs="Arial"/>
          <w:b/>
          <w:bCs/>
          <w:sz w:val="24"/>
          <w:szCs w:val="24"/>
        </w:rPr>
        <w:t>estándar de acreditación</w:t>
      </w:r>
      <w:r w:rsidR="00092D53" w:rsidRPr="002568E8">
        <w:rPr>
          <w:rFonts w:ascii="Arial" w:hAnsi="Arial" w:cs="Arial"/>
          <w:sz w:val="24"/>
          <w:szCs w:val="24"/>
        </w:rPr>
        <w:t xml:space="preserve"> de titulaciones. Este nuevo enfoque de la enseñanza unido a un sistema de aprendizaje autónomo y </w:t>
      </w:r>
      <w:r w:rsidR="00092D53" w:rsidRPr="002568E8">
        <w:rPr>
          <w:rFonts w:ascii="Arial" w:hAnsi="Arial" w:cs="Arial"/>
          <w:sz w:val="24"/>
          <w:szCs w:val="24"/>
        </w:rPr>
        <w:lastRenderedPageBreak/>
        <w:t xml:space="preserve">tutorizado, posibilita que el estudiante, de manera independiente, llegue a construir el conocimiento e interpretar de manera significativa el mundo que le rodea (Gairín, 2004). En este contexto, la docencia y la tutoría universitaria adquieren un papel esencial como acciones que confluyen en el aprendizaje significativo y autónomo del alumno mediante el cual puede incorporar y afianzar el dominio de competencias genéricas y específicas tanto en su proyecto personal como profesional. </w:t>
      </w:r>
    </w:p>
    <w:p w:rsidR="00BA3DA3" w:rsidRPr="00F77509" w:rsidRDefault="001C7C7D" w:rsidP="00E41338">
      <w:pPr>
        <w:spacing w:afterLines="50" w:line="360" w:lineRule="auto"/>
        <w:jc w:val="both"/>
        <w:rPr>
          <w:rFonts w:ascii="Arial" w:hAnsi="Arial" w:cs="Arial"/>
          <w:sz w:val="24"/>
          <w:szCs w:val="24"/>
          <w:lang w:val="es-ES_tradnl"/>
        </w:rPr>
      </w:pPr>
      <w:r>
        <w:rPr>
          <w:rFonts w:ascii="Arial" w:hAnsi="Arial" w:cs="Arial"/>
          <w:spacing w:val="-3"/>
          <w:sz w:val="24"/>
          <w:szCs w:val="24"/>
        </w:rPr>
        <w:t>Para ello, es necesario</w:t>
      </w:r>
      <w:r w:rsidR="00092D53" w:rsidRPr="002568E8">
        <w:rPr>
          <w:rFonts w:ascii="Arial" w:hAnsi="Arial" w:cs="Arial"/>
          <w:sz w:val="24"/>
          <w:szCs w:val="24"/>
          <w:lang w:val="es-ES_tradnl"/>
        </w:rPr>
        <w:t xml:space="preserve"> un </w:t>
      </w:r>
      <w:r w:rsidR="00092D53" w:rsidRPr="001F7815">
        <w:rPr>
          <w:rFonts w:ascii="Arial" w:hAnsi="Arial" w:cs="Arial"/>
          <w:b/>
          <w:sz w:val="24"/>
          <w:szCs w:val="24"/>
          <w:lang w:val="es-ES_tradnl"/>
        </w:rPr>
        <w:t>cambio en la cultura docente</w:t>
      </w:r>
      <w:r w:rsidR="00092D53" w:rsidRPr="002568E8">
        <w:rPr>
          <w:rFonts w:ascii="Arial" w:hAnsi="Arial" w:cs="Arial"/>
          <w:sz w:val="24"/>
          <w:szCs w:val="24"/>
          <w:lang w:val="es-ES_tradnl"/>
        </w:rPr>
        <w:t>, capaz de adaptarse a los continuos desafíos y a las nuevas demandas del alumnado que requiere la incorporación de habilidades, competencias y compromisos cada vez más complejos. En síntesis, redefinir la tarea docente, un nuevo enfoque en su formación y en el des</w:t>
      </w:r>
      <w:r w:rsidR="00BA3DA3">
        <w:rPr>
          <w:rFonts w:ascii="Arial" w:hAnsi="Arial" w:cs="Arial"/>
          <w:sz w:val="24"/>
          <w:szCs w:val="24"/>
          <w:lang w:val="es-ES_tradnl"/>
        </w:rPr>
        <w:t>arrollo de la función tutorial incorporada a la tarea docente universitaria.</w:t>
      </w:r>
    </w:p>
    <w:p w:rsidR="00992C4B" w:rsidRDefault="000C0585" w:rsidP="00E41338">
      <w:pPr>
        <w:autoSpaceDE w:val="0"/>
        <w:autoSpaceDN w:val="0"/>
        <w:adjustRightInd w:val="0"/>
        <w:spacing w:afterLines="50" w:line="360" w:lineRule="auto"/>
        <w:jc w:val="center"/>
        <w:rPr>
          <w:rFonts w:ascii="Arial" w:hAnsi="Arial" w:cs="Arial"/>
          <w:b/>
          <w:sz w:val="24"/>
          <w:szCs w:val="24"/>
        </w:rPr>
      </w:pPr>
      <w:r w:rsidRPr="000C0585">
        <w:rPr>
          <w:rFonts w:ascii="Arial" w:hAnsi="Arial" w:cs="Arial"/>
          <w:b/>
          <w:noProof/>
          <w:sz w:val="24"/>
          <w:szCs w:val="24"/>
          <w:lang w:val="es-AR" w:eastAsia="es-AR"/>
        </w:rPr>
        <w:drawing>
          <wp:inline distT="0" distB="0" distL="0" distR="0">
            <wp:extent cx="4029075" cy="1809750"/>
            <wp:effectExtent l="0" t="19050" r="0" b="19050"/>
            <wp:docPr id="1" name="Imagen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C0585" w:rsidRPr="00BA3DA3" w:rsidRDefault="00BA3DA3" w:rsidP="00E41338">
      <w:pPr>
        <w:autoSpaceDE w:val="0"/>
        <w:autoSpaceDN w:val="0"/>
        <w:adjustRightInd w:val="0"/>
        <w:spacing w:afterLines="50" w:line="360" w:lineRule="auto"/>
        <w:jc w:val="center"/>
        <w:rPr>
          <w:rFonts w:ascii="Arial" w:hAnsi="Arial" w:cs="Arial"/>
          <w:b/>
          <w:i/>
          <w:sz w:val="16"/>
          <w:szCs w:val="16"/>
        </w:rPr>
      </w:pPr>
      <w:r>
        <w:rPr>
          <w:rFonts w:ascii="Arial" w:hAnsi="Arial" w:cs="Arial"/>
          <w:b/>
          <w:i/>
          <w:sz w:val="16"/>
          <w:szCs w:val="16"/>
        </w:rPr>
        <w:t xml:space="preserve">Figura </w:t>
      </w:r>
      <w:r w:rsidRPr="00BA3DA3">
        <w:rPr>
          <w:rFonts w:ascii="Arial" w:hAnsi="Arial" w:cs="Arial"/>
          <w:b/>
          <w:i/>
          <w:sz w:val="16"/>
          <w:szCs w:val="16"/>
        </w:rPr>
        <w:t>1</w:t>
      </w:r>
    </w:p>
    <w:p w:rsidR="00247411" w:rsidRDefault="00092D53" w:rsidP="00247411">
      <w:pPr>
        <w:autoSpaceDE w:val="0"/>
        <w:autoSpaceDN w:val="0"/>
        <w:adjustRightInd w:val="0"/>
        <w:spacing w:afterLines="50" w:line="360" w:lineRule="auto"/>
        <w:jc w:val="both"/>
        <w:rPr>
          <w:rFonts w:asciiTheme="minorHAnsi" w:hAnsiTheme="minorHAnsi"/>
        </w:rPr>
      </w:pPr>
      <w:r w:rsidRPr="002568E8">
        <w:rPr>
          <w:rFonts w:ascii="Arial" w:hAnsi="Arial" w:cs="Arial"/>
          <w:b/>
          <w:sz w:val="24"/>
          <w:szCs w:val="24"/>
        </w:rPr>
        <w:t>Bibliografía</w:t>
      </w:r>
    </w:p>
    <w:p w:rsidR="00092D53" w:rsidRPr="00247411" w:rsidRDefault="00092D53" w:rsidP="00247411">
      <w:pPr>
        <w:autoSpaceDE w:val="0"/>
        <w:autoSpaceDN w:val="0"/>
        <w:adjustRightInd w:val="0"/>
        <w:spacing w:afterLines="50" w:line="276" w:lineRule="auto"/>
        <w:jc w:val="both"/>
        <w:rPr>
          <w:rFonts w:ascii="Arial" w:hAnsi="Arial" w:cs="Arial"/>
          <w:sz w:val="22"/>
          <w:szCs w:val="22"/>
        </w:rPr>
      </w:pPr>
      <w:r w:rsidRPr="00247411">
        <w:rPr>
          <w:rFonts w:ascii="Arial" w:hAnsi="Arial" w:cs="Arial"/>
          <w:sz w:val="22"/>
          <w:szCs w:val="22"/>
        </w:rPr>
        <w:t>ANUIES. (2001). Programas Institucionales de Tutoría. Una propuesta de la ANUIES para su organización y funcionamiento en las instituciones de educación superior. 2da, Edición. Editorial, ANUIES. México.</w:t>
      </w:r>
    </w:p>
    <w:p w:rsidR="00092D53" w:rsidRPr="00247411" w:rsidRDefault="00092D53" w:rsidP="00247411">
      <w:pPr>
        <w:autoSpaceDE w:val="0"/>
        <w:autoSpaceDN w:val="0"/>
        <w:adjustRightInd w:val="0"/>
        <w:spacing w:line="276" w:lineRule="auto"/>
        <w:jc w:val="both"/>
        <w:rPr>
          <w:rFonts w:ascii="Arial" w:hAnsi="Arial" w:cs="Arial"/>
          <w:sz w:val="22"/>
          <w:szCs w:val="22"/>
        </w:rPr>
      </w:pPr>
      <w:r w:rsidRPr="00247411">
        <w:rPr>
          <w:rFonts w:ascii="Arial" w:hAnsi="Arial" w:cs="Arial"/>
          <w:color w:val="000000"/>
          <w:sz w:val="22"/>
          <w:szCs w:val="22"/>
          <w:shd w:val="clear" w:color="auto" w:fill="FFFFFF"/>
        </w:rPr>
        <w:t>ARNAUD, Paul (1990) "Une vision plus institutionnelle de la formation". En:</w:t>
      </w:r>
      <w:r w:rsidRPr="00247411">
        <w:rPr>
          <w:rStyle w:val="apple-converted-space"/>
          <w:rFonts w:ascii="Arial" w:hAnsi="Arial" w:cs="Arial"/>
          <w:i/>
          <w:iCs/>
          <w:color w:val="000000"/>
          <w:sz w:val="22"/>
          <w:szCs w:val="22"/>
          <w:shd w:val="clear" w:color="auto" w:fill="FFFFFF"/>
        </w:rPr>
        <w:t> </w:t>
      </w:r>
      <w:r w:rsidRPr="00247411">
        <w:rPr>
          <w:rFonts w:ascii="Arial" w:hAnsi="Arial" w:cs="Arial"/>
          <w:i/>
          <w:iCs/>
          <w:color w:val="000000"/>
          <w:sz w:val="22"/>
          <w:szCs w:val="22"/>
          <w:shd w:val="clear" w:color="auto" w:fill="FFFFFF"/>
        </w:rPr>
        <w:t>Le cahiers de l'ADMES 3.</w:t>
      </w:r>
    </w:p>
    <w:p w:rsidR="00092D53" w:rsidRPr="00247411" w:rsidRDefault="00092D53" w:rsidP="00247411">
      <w:pPr>
        <w:spacing w:line="276" w:lineRule="auto"/>
        <w:mirrorIndents/>
        <w:jc w:val="both"/>
        <w:rPr>
          <w:rFonts w:ascii="Arial" w:hAnsi="Arial" w:cs="Arial"/>
          <w:sz w:val="22"/>
          <w:szCs w:val="22"/>
          <w:lang w:val="es-AR"/>
        </w:rPr>
      </w:pPr>
      <w:r w:rsidRPr="00247411">
        <w:rPr>
          <w:rFonts w:ascii="Arial" w:hAnsi="Arial" w:cs="Arial"/>
          <w:sz w:val="22"/>
          <w:szCs w:val="22"/>
        </w:rPr>
        <w:t xml:space="preserve">CASCO, MIRIAM (2007) “Prácticas comunicativas del ingresante y afiliación intelectual”. Ponencia presentada en V Encuentro Nacional y II Latinoamericano La Universidad como objeto de investigación. Universidad Nacional del Centro de la Provincia de Buenos Aires-Facultad de Ciencias Humanas. Fuente: </w:t>
      </w:r>
      <w:hyperlink r:id="rId14" w:history="1">
        <w:r w:rsidRPr="00247411">
          <w:rPr>
            <w:rStyle w:val="Hipervnculo"/>
            <w:rFonts w:ascii="Arial" w:hAnsi="Arial" w:cs="Arial"/>
            <w:sz w:val="22"/>
            <w:szCs w:val="22"/>
          </w:rPr>
          <w:t>http://www.eemn1tsas.edu.ar/Autoevaluacion/</w:t>
        </w:r>
      </w:hyperlink>
    </w:p>
    <w:p w:rsidR="00092D53" w:rsidRPr="00247411" w:rsidRDefault="00092D53" w:rsidP="00247411">
      <w:pPr>
        <w:autoSpaceDE w:val="0"/>
        <w:autoSpaceDN w:val="0"/>
        <w:adjustRightInd w:val="0"/>
        <w:spacing w:line="276" w:lineRule="auto"/>
        <w:jc w:val="both"/>
        <w:rPr>
          <w:rFonts w:ascii="Arial" w:hAnsi="Arial" w:cs="Arial"/>
          <w:sz w:val="22"/>
          <w:szCs w:val="22"/>
        </w:rPr>
      </w:pPr>
      <w:r w:rsidRPr="00247411">
        <w:rPr>
          <w:rFonts w:ascii="Arial" w:hAnsi="Arial" w:cs="Arial"/>
          <w:sz w:val="22"/>
          <w:szCs w:val="22"/>
        </w:rPr>
        <w:t xml:space="preserve">COULON, A. (2005). </w:t>
      </w:r>
      <w:r w:rsidRPr="00247411">
        <w:rPr>
          <w:rFonts w:ascii="Arial" w:hAnsi="Arial" w:cs="Arial"/>
          <w:i/>
          <w:sz w:val="22"/>
          <w:szCs w:val="22"/>
        </w:rPr>
        <w:t>Le Metier d’Estudiant. L’entree dans la vie universitaire.</w:t>
      </w:r>
      <w:r w:rsidRPr="00247411">
        <w:rPr>
          <w:rFonts w:ascii="Arial" w:hAnsi="Arial" w:cs="Arial"/>
          <w:sz w:val="22"/>
          <w:szCs w:val="22"/>
        </w:rPr>
        <w:t xml:space="preserve"> Ed. </w:t>
      </w:r>
      <w:r w:rsidR="00645E4F" w:rsidRPr="00247411">
        <w:rPr>
          <w:rFonts w:ascii="Arial" w:hAnsi="Arial" w:cs="Arial"/>
          <w:sz w:val="22"/>
          <w:szCs w:val="22"/>
        </w:rPr>
        <w:t>Económicas</w:t>
      </w:r>
      <w:r w:rsidRPr="00247411">
        <w:rPr>
          <w:rFonts w:ascii="Arial" w:hAnsi="Arial" w:cs="Arial"/>
          <w:sz w:val="22"/>
          <w:szCs w:val="22"/>
        </w:rPr>
        <w:t>. Paris.</w:t>
      </w:r>
    </w:p>
    <w:p w:rsidR="00092D53" w:rsidRPr="00247411" w:rsidRDefault="00092D53" w:rsidP="00247411">
      <w:pPr>
        <w:tabs>
          <w:tab w:val="left" w:pos="-720"/>
        </w:tabs>
        <w:suppressAutoHyphens/>
        <w:spacing w:line="276" w:lineRule="auto"/>
        <w:jc w:val="both"/>
        <w:rPr>
          <w:rFonts w:ascii="Arial" w:hAnsi="Arial" w:cs="Arial"/>
          <w:i/>
          <w:spacing w:val="-3"/>
          <w:sz w:val="22"/>
          <w:szCs w:val="22"/>
        </w:rPr>
      </w:pPr>
      <w:r w:rsidRPr="00247411">
        <w:rPr>
          <w:rFonts w:ascii="Arial" w:hAnsi="Arial" w:cs="Arial"/>
          <w:spacing w:val="-3"/>
          <w:sz w:val="22"/>
          <w:szCs w:val="22"/>
        </w:rPr>
        <w:t xml:space="preserve">GAIRIN, J. </w:t>
      </w:r>
      <w:r w:rsidRPr="00247411">
        <w:rPr>
          <w:rFonts w:ascii="Arial" w:hAnsi="Arial" w:cs="Arial"/>
          <w:i/>
          <w:spacing w:val="-3"/>
          <w:sz w:val="22"/>
          <w:szCs w:val="22"/>
        </w:rPr>
        <w:t xml:space="preserve">et al. </w:t>
      </w:r>
      <w:r w:rsidRPr="00247411">
        <w:rPr>
          <w:rFonts w:ascii="Arial" w:hAnsi="Arial" w:cs="Arial"/>
          <w:spacing w:val="-3"/>
          <w:sz w:val="22"/>
          <w:szCs w:val="22"/>
        </w:rPr>
        <w:t xml:space="preserve">(2004). La tutoría académica en el escenario europeo de Educación superior. </w:t>
      </w:r>
      <w:r w:rsidRPr="00247411">
        <w:rPr>
          <w:rFonts w:ascii="Arial" w:hAnsi="Arial" w:cs="Arial"/>
          <w:i/>
          <w:spacing w:val="-3"/>
          <w:sz w:val="22"/>
          <w:szCs w:val="22"/>
        </w:rPr>
        <w:t xml:space="preserve">Revista Interuniversitaria del Formación del Profesorado. </w:t>
      </w:r>
      <w:r w:rsidRPr="00247411">
        <w:rPr>
          <w:rFonts w:ascii="Arial" w:hAnsi="Arial" w:cs="Arial"/>
          <w:spacing w:val="-3"/>
          <w:sz w:val="22"/>
          <w:szCs w:val="22"/>
        </w:rPr>
        <w:t>V.18 (1). 66-77.</w:t>
      </w:r>
    </w:p>
    <w:p w:rsidR="004B21E7" w:rsidRPr="00247411" w:rsidRDefault="00092D53" w:rsidP="00247411">
      <w:pPr>
        <w:autoSpaceDE w:val="0"/>
        <w:autoSpaceDN w:val="0"/>
        <w:adjustRightInd w:val="0"/>
        <w:spacing w:line="276" w:lineRule="auto"/>
        <w:jc w:val="both"/>
        <w:rPr>
          <w:rFonts w:ascii="Arial" w:hAnsi="Arial" w:cs="Arial"/>
          <w:sz w:val="22"/>
          <w:szCs w:val="22"/>
        </w:rPr>
      </w:pPr>
      <w:r w:rsidRPr="00247411">
        <w:rPr>
          <w:rFonts w:ascii="Arial" w:hAnsi="Arial" w:cs="Arial"/>
          <w:sz w:val="22"/>
          <w:szCs w:val="22"/>
        </w:rPr>
        <w:t xml:space="preserve">ROMAINVILLE, M. (2000). </w:t>
      </w:r>
      <w:r w:rsidRPr="00247411">
        <w:rPr>
          <w:rFonts w:ascii="Arial" w:hAnsi="Arial" w:cs="Arial"/>
          <w:i/>
          <w:iCs/>
          <w:sz w:val="22"/>
          <w:szCs w:val="22"/>
        </w:rPr>
        <w:t>El Fracaso en la Universidad de Masa</w:t>
      </w:r>
      <w:r w:rsidRPr="00247411">
        <w:rPr>
          <w:rFonts w:ascii="Arial" w:hAnsi="Arial" w:cs="Arial"/>
          <w:sz w:val="22"/>
          <w:szCs w:val="22"/>
        </w:rPr>
        <w:t>. París: L’Harmattan.</w:t>
      </w:r>
    </w:p>
    <w:sectPr w:rsidR="004B21E7" w:rsidRPr="00247411" w:rsidSect="004606F7">
      <w:headerReference w:type="default" r:id="rId15"/>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40" w:rsidRDefault="00876140" w:rsidP="008049CD">
      <w:r>
        <w:separator/>
      </w:r>
    </w:p>
  </w:endnote>
  <w:endnote w:type="continuationSeparator" w:id="1">
    <w:p w:rsidR="00876140" w:rsidRDefault="00876140" w:rsidP="00804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40" w:rsidRDefault="00876140" w:rsidP="008049CD">
      <w:r>
        <w:separator/>
      </w:r>
    </w:p>
  </w:footnote>
  <w:footnote w:type="continuationSeparator" w:id="1">
    <w:p w:rsidR="00876140" w:rsidRDefault="00876140" w:rsidP="008049CD">
      <w:r>
        <w:continuationSeparator/>
      </w:r>
    </w:p>
  </w:footnote>
  <w:footnote w:id="2">
    <w:p w:rsidR="001809E1" w:rsidRPr="00361116" w:rsidRDefault="001809E1" w:rsidP="001809E1">
      <w:pPr>
        <w:jc w:val="both"/>
        <w:rPr>
          <w:rFonts w:ascii="Arial" w:hAnsi="Arial" w:cs="Arial"/>
          <w:sz w:val="16"/>
          <w:szCs w:val="16"/>
        </w:rPr>
      </w:pPr>
      <w:r w:rsidRPr="00361116">
        <w:rPr>
          <w:rStyle w:val="Refdenotaalpie"/>
          <w:rFonts w:ascii="Arial" w:hAnsi="Arial" w:cs="Arial"/>
          <w:sz w:val="16"/>
          <w:szCs w:val="16"/>
        </w:rPr>
        <w:footnoteRef/>
      </w:r>
      <w:r w:rsidRPr="00361116">
        <w:rPr>
          <w:rFonts w:ascii="Arial" w:hAnsi="Arial" w:cs="Arial"/>
          <w:sz w:val="16"/>
          <w:szCs w:val="16"/>
        </w:rPr>
        <w:t xml:space="preserve"> Es Becario del  Proyecto 55-B/ 172: “La Tutoría Universitaria como Estrategia de Afiliación Institucional y Cognitiva para los estudiantes que cursan el primer año de la Carrera de Contador Público de la Universidad Nacional de La Matanza”.</w:t>
      </w:r>
    </w:p>
    <w:p w:rsidR="001809E1" w:rsidRDefault="001809E1" w:rsidP="001809E1">
      <w:pPr>
        <w:pStyle w:val="Textonotapie"/>
      </w:pPr>
    </w:p>
  </w:footnote>
  <w:footnote w:id="3">
    <w:p w:rsidR="00C921A2" w:rsidRPr="00C921A2" w:rsidRDefault="00C921A2" w:rsidP="00C921A2">
      <w:pPr>
        <w:pStyle w:val="Textonotapie"/>
        <w:jc w:val="both"/>
        <w:rPr>
          <w:lang w:val="es-AR"/>
        </w:rPr>
      </w:pPr>
      <w:r>
        <w:rPr>
          <w:rStyle w:val="Refdenotaalpie"/>
        </w:rPr>
        <w:footnoteRef/>
      </w:r>
      <w:r>
        <w:t xml:space="preserve"> </w:t>
      </w:r>
      <w:r w:rsidRPr="00016F97">
        <w:rPr>
          <w:rFonts w:ascii="Arial" w:hAnsi="Arial" w:cs="Arial"/>
          <w:sz w:val="16"/>
          <w:szCs w:val="16"/>
        </w:rPr>
        <w:t>La carrera de Contador fue declarada de interés Público por el Ministerio de Educación de la Nación Argentina mediante la Resolución N' 1723/2013.</w:t>
      </w:r>
    </w:p>
  </w:footnote>
  <w:footnote w:id="4">
    <w:p w:rsidR="00564BCE" w:rsidRPr="00564BCE" w:rsidRDefault="00564BCE">
      <w:pPr>
        <w:pStyle w:val="Textonotapie"/>
        <w:rPr>
          <w:rFonts w:asciiTheme="minorHAnsi" w:hAnsiTheme="minorHAnsi"/>
          <w:sz w:val="16"/>
          <w:szCs w:val="16"/>
          <w:lang w:val="es-AR"/>
        </w:rPr>
      </w:pPr>
      <w:r w:rsidRPr="00564BCE">
        <w:rPr>
          <w:rStyle w:val="Refdenotaalpie"/>
          <w:rFonts w:asciiTheme="minorHAnsi" w:hAnsiTheme="minorHAnsi"/>
          <w:sz w:val="16"/>
          <w:szCs w:val="16"/>
        </w:rPr>
        <w:footnoteRef/>
      </w:r>
      <w:r w:rsidRPr="00564BCE">
        <w:rPr>
          <w:rFonts w:asciiTheme="minorHAnsi" w:hAnsiTheme="minorHAnsi"/>
          <w:sz w:val="16"/>
          <w:szCs w:val="16"/>
        </w:rPr>
        <w:t xml:space="preserve"> </w:t>
      </w:r>
      <w:r w:rsidRPr="00564BCE">
        <w:rPr>
          <w:rFonts w:asciiTheme="minorHAnsi" w:hAnsiTheme="minorHAnsi"/>
          <w:sz w:val="16"/>
          <w:szCs w:val="16"/>
          <w:lang w:val="es-AR"/>
        </w:rPr>
        <w:t>Varios alumnos han señalado más de una causa.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7C" w:rsidRPr="001D5150" w:rsidRDefault="003C567C" w:rsidP="001D5150">
    <w:pPr>
      <w:pStyle w:val="Encabezado"/>
      <w:pBdr>
        <w:between w:val="single" w:sz="4" w:space="1" w:color="4F81BD" w:themeColor="accent1"/>
      </w:pBd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0749"/>
    <w:multiLevelType w:val="hybridMultilevel"/>
    <w:tmpl w:val="63401288"/>
    <w:lvl w:ilvl="0" w:tplc="80F6F8C0">
      <w:start w:val="11"/>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49CD"/>
    <w:rsid w:val="0001412F"/>
    <w:rsid w:val="00017C44"/>
    <w:rsid w:val="00042D18"/>
    <w:rsid w:val="00047A6A"/>
    <w:rsid w:val="00057655"/>
    <w:rsid w:val="000858A3"/>
    <w:rsid w:val="00092D53"/>
    <w:rsid w:val="00097EEE"/>
    <w:rsid w:val="000C0585"/>
    <w:rsid w:val="000E5E8A"/>
    <w:rsid w:val="001115BF"/>
    <w:rsid w:val="0011368F"/>
    <w:rsid w:val="00142D36"/>
    <w:rsid w:val="00145463"/>
    <w:rsid w:val="001809E1"/>
    <w:rsid w:val="00187826"/>
    <w:rsid w:val="001A14DB"/>
    <w:rsid w:val="001B0D14"/>
    <w:rsid w:val="001C7C7D"/>
    <w:rsid w:val="001D1D18"/>
    <w:rsid w:val="001D5150"/>
    <w:rsid w:val="001E7BF7"/>
    <w:rsid w:val="001F7815"/>
    <w:rsid w:val="00216C77"/>
    <w:rsid w:val="00216EA7"/>
    <w:rsid w:val="002274A2"/>
    <w:rsid w:val="00230C7D"/>
    <w:rsid w:val="00237395"/>
    <w:rsid w:val="00247411"/>
    <w:rsid w:val="002568E8"/>
    <w:rsid w:val="00271C67"/>
    <w:rsid w:val="00274380"/>
    <w:rsid w:val="002B505D"/>
    <w:rsid w:val="002D1CC5"/>
    <w:rsid w:val="002D69D6"/>
    <w:rsid w:val="002F4E8E"/>
    <w:rsid w:val="003026A7"/>
    <w:rsid w:val="003149BF"/>
    <w:rsid w:val="00315029"/>
    <w:rsid w:val="003209A5"/>
    <w:rsid w:val="00327C15"/>
    <w:rsid w:val="0034396E"/>
    <w:rsid w:val="003522F0"/>
    <w:rsid w:val="0035480F"/>
    <w:rsid w:val="00355C64"/>
    <w:rsid w:val="00374630"/>
    <w:rsid w:val="00391245"/>
    <w:rsid w:val="003969C1"/>
    <w:rsid w:val="003A2E60"/>
    <w:rsid w:val="003C567C"/>
    <w:rsid w:val="003E7B01"/>
    <w:rsid w:val="00404B6B"/>
    <w:rsid w:val="00417061"/>
    <w:rsid w:val="004174B0"/>
    <w:rsid w:val="0042348A"/>
    <w:rsid w:val="004606F7"/>
    <w:rsid w:val="004629BA"/>
    <w:rsid w:val="00465759"/>
    <w:rsid w:val="00471A5C"/>
    <w:rsid w:val="004A4119"/>
    <w:rsid w:val="004B21E7"/>
    <w:rsid w:val="004B2F5D"/>
    <w:rsid w:val="004D53E2"/>
    <w:rsid w:val="004E4BC1"/>
    <w:rsid w:val="004F6118"/>
    <w:rsid w:val="00526B2D"/>
    <w:rsid w:val="0052787A"/>
    <w:rsid w:val="00541E7A"/>
    <w:rsid w:val="005543F6"/>
    <w:rsid w:val="005619C7"/>
    <w:rsid w:val="00564BCE"/>
    <w:rsid w:val="005662EC"/>
    <w:rsid w:val="00592B80"/>
    <w:rsid w:val="005A2005"/>
    <w:rsid w:val="005B49FF"/>
    <w:rsid w:val="005C3294"/>
    <w:rsid w:val="005E0D54"/>
    <w:rsid w:val="00615BFC"/>
    <w:rsid w:val="00625041"/>
    <w:rsid w:val="006329B2"/>
    <w:rsid w:val="00634462"/>
    <w:rsid w:val="00645E4F"/>
    <w:rsid w:val="00647C8C"/>
    <w:rsid w:val="006A320B"/>
    <w:rsid w:val="006C72CC"/>
    <w:rsid w:val="006D6E84"/>
    <w:rsid w:val="006E0BA3"/>
    <w:rsid w:val="006E48C2"/>
    <w:rsid w:val="007007F2"/>
    <w:rsid w:val="0075617E"/>
    <w:rsid w:val="00761A08"/>
    <w:rsid w:val="00776898"/>
    <w:rsid w:val="007869A2"/>
    <w:rsid w:val="007A4E45"/>
    <w:rsid w:val="007B0F70"/>
    <w:rsid w:val="007B31E0"/>
    <w:rsid w:val="008049CD"/>
    <w:rsid w:val="00816307"/>
    <w:rsid w:val="00816948"/>
    <w:rsid w:val="0084044F"/>
    <w:rsid w:val="00876140"/>
    <w:rsid w:val="00885D7B"/>
    <w:rsid w:val="008919FF"/>
    <w:rsid w:val="008942FE"/>
    <w:rsid w:val="00894A2B"/>
    <w:rsid w:val="00897B8A"/>
    <w:rsid w:val="008C0E81"/>
    <w:rsid w:val="008E2450"/>
    <w:rsid w:val="008F5F9B"/>
    <w:rsid w:val="00900698"/>
    <w:rsid w:val="009575F2"/>
    <w:rsid w:val="00962463"/>
    <w:rsid w:val="00962DBB"/>
    <w:rsid w:val="00983F94"/>
    <w:rsid w:val="00992C4B"/>
    <w:rsid w:val="009B3077"/>
    <w:rsid w:val="009B79E1"/>
    <w:rsid w:val="009C6A28"/>
    <w:rsid w:val="009D17DA"/>
    <w:rsid w:val="009D3924"/>
    <w:rsid w:val="009F2B34"/>
    <w:rsid w:val="00A45878"/>
    <w:rsid w:val="00A51051"/>
    <w:rsid w:val="00A572A0"/>
    <w:rsid w:val="00A702E5"/>
    <w:rsid w:val="00A76A58"/>
    <w:rsid w:val="00A770AA"/>
    <w:rsid w:val="00A902D6"/>
    <w:rsid w:val="00AA6049"/>
    <w:rsid w:val="00AB5A2A"/>
    <w:rsid w:val="00AD6339"/>
    <w:rsid w:val="00B03A6C"/>
    <w:rsid w:val="00B127DB"/>
    <w:rsid w:val="00B21EEB"/>
    <w:rsid w:val="00B2725F"/>
    <w:rsid w:val="00B33847"/>
    <w:rsid w:val="00B377DF"/>
    <w:rsid w:val="00BA0E38"/>
    <w:rsid w:val="00BA39D5"/>
    <w:rsid w:val="00BA3DA3"/>
    <w:rsid w:val="00BB5A90"/>
    <w:rsid w:val="00BC5D2E"/>
    <w:rsid w:val="00BC6640"/>
    <w:rsid w:val="00BD7B36"/>
    <w:rsid w:val="00C020A4"/>
    <w:rsid w:val="00C063D4"/>
    <w:rsid w:val="00C17CBC"/>
    <w:rsid w:val="00C23180"/>
    <w:rsid w:val="00C42ACF"/>
    <w:rsid w:val="00C921A2"/>
    <w:rsid w:val="00C94F56"/>
    <w:rsid w:val="00CA1D11"/>
    <w:rsid w:val="00CB18C1"/>
    <w:rsid w:val="00CC4EBC"/>
    <w:rsid w:val="00CC56E9"/>
    <w:rsid w:val="00CF27D1"/>
    <w:rsid w:val="00D064C6"/>
    <w:rsid w:val="00D242A4"/>
    <w:rsid w:val="00D256A3"/>
    <w:rsid w:val="00D358EC"/>
    <w:rsid w:val="00D65F93"/>
    <w:rsid w:val="00D75477"/>
    <w:rsid w:val="00D8638F"/>
    <w:rsid w:val="00DE0B76"/>
    <w:rsid w:val="00E213BF"/>
    <w:rsid w:val="00E41338"/>
    <w:rsid w:val="00E74B53"/>
    <w:rsid w:val="00EA26A2"/>
    <w:rsid w:val="00EA3379"/>
    <w:rsid w:val="00EC6FD0"/>
    <w:rsid w:val="00ED2E77"/>
    <w:rsid w:val="00ED798F"/>
    <w:rsid w:val="00EE2B44"/>
    <w:rsid w:val="00EE79A3"/>
    <w:rsid w:val="00F37E1B"/>
    <w:rsid w:val="00F54EE3"/>
    <w:rsid w:val="00F77509"/>
    <w:rsid w:val="00FB1B4E"/>
    <w:rsid w:val="00FD0A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C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9CD"/>
    <w:pPr>
      <w:jc w:val="both"/>
    </w:pPr>
    <w:rPr>
      <w:sz w:val="24"/>
    </w:rPr>
  </w:style>
  <w:style w:type="character" w:customStyle="1" w:styleId="TextoindependienteCar">
    <w:name w:val="Texto independiente Car"/>
    <w:basedOn w:val="Fuentedeprrafopredeter"/>
    <w:link w:val="Textoindependiente"/>
    <w:rsid w:val="008049CD"/>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8049CD"/>
    <w:pPr>
      <w:tabs>
        <w:tab w:val="center" w:pos="4419"/>
        <w:tab w:val="right" w:pos="8838"/>
      </w:tabs>
    </w:pPr>
  </w:style>
  <w:style w:type="character" w:customStyle="1" w:styleId="PiedepginaCar">
    <w:name w:val="Pie de página Car"/>
    <w:basedOn w:val="Fuentedeprrafopredeter"/>
    <w:link w:val="Piedepgina"/>
    <w:uiPriority w:val="99"/>
    <w:rsid w:val="008049C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8049CD"/>
    <w:rPr>
      <w:vertAlign w:val="superscript"/>
    </w:rPr>
  </w:style>
  <w:style w:type="character" w:styleId="Refdenotaalpie">
    <w:name w:val="footnote reference"/>
    <w:uiPriority w:val="99"/>
    <w:rsid w:val="005A2005"/>
    <w:rPr>
      <w:vertAlign w:val="superscript"/>
    </w:rPr>
  </w:style>
  <w:style w:type="paragraph" w:styleId="Textonotapie">
    <w:name w:val="footnote text"/>
    <w:aliases w:val=" Car,Car"/>
    <w:basedOn w:val="Normal"/>
    <w:link w:val="TextonotapieCar"/>
    <w:uiPriority w:val="99"/>
    <w:rsid w:val="005A2005"/>
  </w:style>
  <w:style w:type="character" w:customStyle="1" w:styleId="TextonotapieCar">
    <w:name w:val="Texto nota pie Car"/>
    <w:aliases w:val=" Car Car,Car Car"/>
    <w:basedOn w:val="Fuentedeprrafopredeter"/>
    <w:link w:val="Textonotapie"/>
    <w:uiPriority w:val="99"/>
    <w:rsid w:val="005A2005"/>
    <w:rPr>
      <w:rFonts w:ascii="Times New Roman" w:eastAsia="Times New Roman" w:hAnsi="Times New Roman" w:cs="Times New Roman"/>
      <w:sz w:val="20"/>
      <w:szCs w:val="20"/>
      <w:lang w:val="es-ES" w:eastAsia="es-ES"/>
    </w:rPr>
  </w:style>
  <w:style w:type="paragraph" w:customStyle="1" w:styleId="Default">
    <w:name w:val="Default"/>
    <w:rsid w:val="005A2005"/>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paragraph" w:styleId="Encabezado">
    <w:name w:val="header"/>
    <w:basedOn w:val="Normal"/>
    <w:link w:val="EncabezadoCar"/>
    <w:uiPriority w:val="99"/>
    <w:unhideWhenUsed/>
    <w:rsid w:val="005A2005"/>
    <w:pPr>
      <w:tabs>
        <w:tab w:val="center" w:pos="4419"/>
        <w:tab w:val="right" w:pos="8838"/>
      </w:tabs>
    </w:pPr>
  </w:style>
  <w:style w:type="character" w:customStyle="1" w:styleId="EncabezadoCar">
    <w:name w:val="Encabezado Car"/>
    <w:basedOn w:val="Fuentedeprrafopredeter"/>
    <w:link w:val="Encabezado"/>
    <w:uiPriority w:val="99"/>
    <w:rsid w:val="005A200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A2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005"/>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1809E1"/>
    <w:rPr>
      <w:color w:val="0000FF"/>
      <w:u w:val="single"/>
    </w:rPr>
  </w:style>
  <w:style w:type="table" w:styleId="Cuadrculamedia3-nfasis1">
    <w:name w:val="Medium Grid 3 Accent 1"/>
    <w:basedOn w:val="Tablanormal"/>
    <w:uiPriority w:val="69"/>
    <w:rsid w:val="004B21E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Fuentedeprrafopredeter"/>
    <w:rsid w:val="00092D53"/>
  </w:style>
  <w:style w:type="paragraph" w:styleId="NormalWeb">
    <w:name w:val="Normal (Web)"/>
    <w:basedOn w:val="Normal"/>
    <w:uiPriority w:val="99"/>
    <w:unhideWhenUsed/>
    <w:rsid w:val="009575F2"/>
    <w:pPr>
      <w:spacing w:before="100" w:beforeAutospacing="1" w:after="100" w:afterAutospacing="1"/>
    </w:pPr>
    <w:rPr>
      <w:color w:val="000000"/>
      <w:sz w:val="24"/>
      <w:szCs w:val="24"/>
      <w:lang w:val="es-AR" w:eastAsia="es-AR"/>
    </w:rPr>
  </w:style>
  <w:style w:type="table" w:customStyle="1" w:styleId="Cuadrculaclara-nfasis11">
    <w:name w:val="Cuadrícula clara - Énfasis 11"/>
    <w:basedOn w:val="Tablanormal"/>
    <w:uiPriority w:val="62"/>
    <w:rsid w:val="008C0E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A902D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479539">
      <w:bodyDiv w:val="1"/>
      <w:marLeft w:val="0"/>
      <w:marRight w:val="0"/>
      <w:marTop w:val="0"/>
      <w:marBottom w:val="0"/>
      <w:divBdr>
        <w:top w:val="none" w:sz="0" w:space="0" w:color="auto"/>
        <w:left w:val="none" w:sz="0" w:space="0" w:color="auto"/>
        <w:bottom w:val="none" w:sz="0" w:space="0" w:color="auto"/>
        <w:right w:val="none" w:sz="0" w:space="0" w:color="auto"/>
      </w:divBdr>
    </w:div>
    <w:div w:id="5376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yperlink" Target="mailto:erobustelli@gmail.com" TargetMode="External"/><Relationship Id="rId14" Type="http://schemas.openxmlformats.org/officeDocument/2006/relationships/hyperlink" Target="http://www.eemn1tsas.edu.ar/Autoevaluacion/"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9E4F0-2ECA-4EF3-BB0C-8FAE5543FB0F}" type="doc">
      <dgm:prSet loTypeId="urn:microsoft.com/office/officeart/2005/8/layout/radial4" loCatId="relationship" qsTypeId="urn:microsoft.com/office/officeart/2005/8/quickstyle/3d1" qsCatId="3D" csTypeId="urn:microsoft.com/office/officeart/2005/8/colors/accent0_3" csCatId="mainScheme" phldr="1"/>
      <dgm:spPr/>
      <dgm:t>
        <a:bodyPr/>
        <a:lstStyle/>
        <a:p>
          <a:endParaRPr lang="es-AR"/>
        </a:p>
      </dgm:t>
    </dgm:pt>
    <dgm:pt modelId="{DD28CDBE-E251-4133-948D-BB1E2B3241F2}">
      <dgm:prSet phldrT="[Texto]" custT="1"/>
      <dgm:spPr/>
      <dgm:t>
        <a:bodyPr/>
        <a:lstStyle/>
        <a:p>
          <a:pPr algn="ctr"/>
          <a:r>
            <a:rPr lang="es-AR" sz="900" b="1" i="0"/>
            <a:t>Funciones del Profesor Universitario</a:t>
          </a:r>
        </a:p>
      </dgm:t>
    </dgm:pt>
    <dgm:pt modelId="{9B52BA37-7272-4179-8CBF-B881CC4BBF28}" type="parTrans" cxnId="{14088F30-A880-4972-9187-4E565A973AC7}">
      <dgm:prSet/>
      <dgm:spPr/>
      <dgm:t>
        <a:bodyPr/>
        <a:lstStyle/>
        <a:p>
          <a:pPr algn="ctr"/>
          <a:endParaRPr lang="es-AR"/>
        </a:p>
      </dgm:t>
    </dgm:pt>
    <dgm:pt modelId="{4778E0BA-6B7D-4BF4-8B47-C997B337775D}" type="sibTrans" cxnId="{14088F30-A880-4972-9187-4E565A973AC7}">
      <dgm:prSet/>
      <dgm:spPr/>
      <dgm:t>
        <a:bodyPr/>
        <a:lstStyle/>
        <a:p>
          <a:pPr algn="ctr"/>
          <a:endParaRPr lang="es-AR"/>
        </a:p>
      </dgm:t>
    </dgm:pt>
    <dgm:pt modelId="{FEA01764-7D3B-478D-AEF6-D7F5264F5B82}">
      <dgm:prSet phldrT="[Texto]" custT="1"/>
      <dgm:spPr/>
      <dgm:t>
        <a:bodyPr/>
        <a:lstStyle/>
        <a:p>
          <a:pPr algn="ctr"/>
          <a:endParaRPr lang="es-AR"/>
        </a:p>
      </dgm:t>
    </dgm:pt>
    <dgm:pt modelId="{B8D7218F-1A11-4F92-BD5C-82772A802A68}" type="parTrans" cxnId="{57F45449-B2FD-495A-B3BD-226F1F085B15}">
      <dgm:prSet/>
      <dgm:spPr/>
      <dgm:t>
        <a:bodyPr/>
        <a:lstStyle/>
        <a:p>
          <a:pPr algn="ctr"/>
          <a:endParaRPr lang="es-AR"/>
        </a:p>
      </dgm:t>
    </dgm:pt>
    <dgm:pt modelId="{FBC0816E-FEC8-4ED3-88F3-A9305188985A}" type="sibTrans" cxnId="{57F45449-B2FD-495A-B3BD-226F1F085B15}">
      <dgm:prSet/>
      <dgm:spPr/>
      <dgm:t>
        <a:bodyPr/>
        <a:lstStyle/>
        <a:p>
          <a:pPr algn="ctr"/>
          <a:endParaRPr lang="es-AR"/>
        </a:p>
      </dgm:t>
    </dgm:pt>
    <dgm:pt modelId="{F518720F-6047-452E-813C-0A9199F94B7B}">
      <dgm:prSet phldrT="[Texto]" custT="1"/>
      <dgm:spPr/>
      <dgm:t>
        <a:bodyPr/>
        <a:lstStyle/>
        <a:p>
          <a:pPr algn="ctr"/>
          <a:endParaRPr lang="es-AR"/>
        </a:p>
      </dgm:t>
    </dgm:pt>
    <dgm:pt modelId="{BB7639DE-D270-4432-9A0E-130D28B9DE2B}" type="parTrans" cxnId="{4302093F-8782-4580-98BC-B4A04A54A90F}">
      <dgm:prSet/>
      <dgm:spPr/>
      <dgm:t>
        <a:bodyPr/>
        <a:lstStyle/>
        <a:p>
          <a:pPr algn="ctr"/>
          <a:endParaRPr lang="es-AR"/>
        </a:p>
      </dgm:t>
    </dgm:pt>
    <dgm:pt modelId="{53CCA671-0839-463E-B17D-6F1C6349E9D3}" type="sibTrans" cxnId="{4302093F-8782-4580-98BC-B4A04A54A90F}">
      <dgm:prSet/>
      <dgm:spPr/>
      <dgm:t>
        <a:bodyPr/>
        <a:lstStyle/>
        <a:p>
          <a:pPr algn="ctr"/>
          <a:endParaRPr lang="es-AR"/>
        </a:p>
      </dgm:t>
    </dgm:pt>
    <dgm:pt modelId="{BEA13952-B38B-4CEE-8941-FCC2860F82FD}">
      <dgm:prSet phldrT="[Texto]" custT="1"/>
      <dgm:spPr/>
      <dgm:t>
        <a:bodyPr/>
        <a:lstStyle/>
        <a:p>
          <a:pPr algn="ctr"/>
          <a:endParaRPr lang="es-AR"/>
        </a:p>
      </dgm:t>
    </dgm:pt>
    <dgm:pt modelId="{254250E3-B5B2-4BE1-B33F-AC103EFB46C5}" type="parTrans" cxnId="{76AB6098-D2F2-4B6D-AB94-B3BB9B21EEEA}">
      <dgm:prSet/>
      <dgm:spPr/>
      <dgm:t>
        <a:bodyPr/>
        <a:lstStyle/>
        <a:p>
          <a:pPr algn="ctr"/>
          <a:endParaRPr lang="es-AR"/>
        </a:p>
      </dgm:t>
    </dgm:pt>
    <dgm:pt modelId="{3F84B5BE-A617-4A93-BCE2-6EEC7794A21E}" type="sibTrans" cxnId="{76AB6098-D2F2-4B6D-AB94-B3BB9B21EEEA}">
      <dgm:prSet/>
      <dgm:spPr/>
      <dgm:t>
        <a:bodyPr/>
        <a:lstStyle/>
        <a:p>
          <a:pPr algn="ctr"/>
          <a:endParaRPr lang="es-AR"/>
        </a:p>
      </dgm:t>
    </dgm:pt>
    <dgm:pt modelId="{A850F6AA-CD91-4260-B89E-02CF7F90E883}">
      <dgm:prSet phldrT="[Texto]"/>
      <dgm:spPr/>
      <dgm:t>
        <a:bodyPr/>
        <a:lstStyle/>
        <a:p>
          <a:pPr algn="ctr"/>
          <a:endParaRPr lang="es-AR"/>
        </a:p>
      </dgm:t>
    </dgm:pt>
    <dgm:pt modelId="{9C49D8F7-2545-433E-AC5A-6771124F462A}" type="parTrans" cxnId="{72D992C7-49BB-4156-9E44-14C9F802729A}">
      <dgm:prSet/>
      <dgm:spPr/>
      <dgm:t>
        <a:bodyPr/>
        <a:lstStyle/>
        <a:p>
          <a:pPr algn="ctr"/>
          <a:endParaRPr lang="es-AR"/>
        </a:p>
      </dgm:t>
    </dgm:pt>
    <dgm:pt modelId="{73A11686-CA9A-430F-A230-34E87CD4E77D}" type="sibTrans" cxnId="{72D992C7-49BB-4156-9E44-14C9F802729A}">
      <dgm:prSet/>
      <dgm:spPr/>
      <dgm:t>
        <a:bodyPr/>
        <a:lstStyle/>
        <a:p>
          <a:pPr algn="ctr"/>
          <a:endParaRPr lang="es-AR"/>
        </a:p>
      </dgm:t>
    </dgm:pt>
    <dgm:pt modelId="{D4D0936E-4FF7-4D5B-8D9A-91745E73809F}">
      <dgm:prSet phldrT="[Texto]"/>
      <dgm:spPr/>
      <dgm:t>
        <a:bodyPr/>
        <a:lstStyle/>
        <a:p>
          <a:pPr algn="ctr"/>
          <a:endParaRPr lang="es-AR"/>
        </a:p>
      </dgm:t>
    </dgm:pt>
    <dgm:pt modelId="{5D441F46-6067-4836-A0E0-0DF81808C783}" type="parTrans" cxnId="{FBA11431-C3BD-47CD-9144-0D87C6FC71F2}">
      <dgm:prSet/>
      <dgm:spPr/>
      <dgm:t>
        <a:bodyPr/>
        <a:lstStyle/>
        <a:p>
          <a:pPr algn="ctr"/>
          <a:endParaRPr lang="es-AR"/>
        </a:p>
      </dgm:t>
    </dgm:pt>
    <dgm:pt modelId="{7DF16E17-6202-4812-844D-A78EC67FB1C1}" type="sibTrans" cxnId="{FBA11431-C3BD-47CD-9144-0D87C6FC71F2}">
      <dgm:prSet/>
      <dgm:spPr/>
      <dgm:t>
        <a:bodyPr/>
        <a:lstStyle/>
        <a:p>
          <a:pPr algn="ctr"/>
          <a:endParaRPr lang="es-AR"/>
        </a:p>
      </dgm:t>
    </dgm:pt>
    <dgm:pt modelId="{9F6F7BE1-221F-46A0-8A97-4FFA0835E68A}">
      <dgm:prSet phldrT="[Texto]"/>
      <dgm:spPr/>
      <dgm:t>
        <a:bodyPr/>
        <a:lstStyle/>
        <a:p>
          <a:pPr algn="ctr"/>
          <a:endParaRPr lang="es-AR"/>
        </a:p>
      </dgm:t>
    </dgm:pt>
    <dgm:pt modelId="{589CC8E2-BE5A-4D75-BB10-98444684B79D}" type="parTrans" cxnId="{9EF84C03-EE8E-4065-B4F3-7A305926E270}">
      <dgm:prSet/>
      <dgm:spPr/>
      <dgm:t>
        <a:bodyPr/>
        <a:lstStyle/>
        <a:p>
          <a:pPr algn="ctr"/>
          <a:endParaRPr lang="es-AR"/>
        </a:p>
      </dgm:t>
    </dgm:pt>
    <dgm:pt modelId="{B27BC0FE-085A-49FB-9406-769E4EEAE516}" type="sibTrans" cxnId="{9EF84C03-EE8E-4065-B4F3-7A305926E270}">
      <dgm:prSet/>
      <dgm:spPr/>
      <dgm:t>
        <a:bodyPr/>
        <a:lstStyle/>
        <a:p>
          <a:pPr algn="ctr"/>
          <a:endParaRPr lang="es-AR"/>
        </a:p>
      </dgm:t>
    </dgm:pt>
    <dgm:pt modelId="{C493DEE5-4AFE-4F15-91A8-C03C42CEF366}">
      <dgm:prSet custT="1"/>
      <dgm:spPr/>
      <dgm:t>
        <a:bodyPr/>
        <a:lstStyle/>
        <a:p>
          <a:pPr algn="ctr"/>
          <a:r>
            <a:rPr lang="es-AR" sz="800" b="1"/>
            <a:t>FUNCION TUTORIAL</a:t>
          </a:r>
        </a:p>
      </dgm:t>
    </dgm:pt>
    <dgm:pt modelId="{97CAB143-78F7-450D-92D6-C7EC8DEDC52A}" type="parTrans" cxnId="{1DC8E5C0-DF23-4F41-8344-F3126FAF3ED5}">
      <dgm:prSet/>
      <dgm:spPr/>
      <dgm:t>
        <a:bodyPr/>
        <a:lstStyle/>
        <a:p>
          <a:pPr algn="ctr"/>
          <a:endParaRPr lang="es-AR"/>
        </a:p>
      </dgm:t>
    </dgm:pt>
    <dgm:pt modelId="{3A859356-4BBB-4072-BCC4-DC16B9BEBED2}" type="sibTrans" cxnId="{1DC8E5C0-DF23-4F41-8344-F3126FAF3ED5}">
      <dgm:prSet/>
      <dgm:spPr/>
      <dgm:t>
        <a:bodyPr/>
        <a:lstStyle/>
        <a:p>
          <a:pPr algn="ctr"/>
          <a:endParaRPr lang="es-AR"/>
        </a:p>
      </dgm:t>
    </dgm:pt>
    <dgm:pt modelId="{EE2B49CB-BBEB-424B-AAA7-135857D7C569}">
      <dgm:prSet custT="1"/>
      <dgm:spPr/>
      <dgm:t>
        <a:bodyPr/>
        <a:lstStyle/>
        <a:p>
          <a:pPr algn="ctr"/>
          <a:r>
            <a:rPr lang="es-AR" sz="800" b="1"/>
            <a:t>FUNCION DOCENTE</a:t>
          </a:r>
        </a:p>
      </dgm:t>
    </dgm:pt>
    <dgm:pt modelId="{1B606EE2-F354-4A8D-BD8B-BC7BC4A9F0EE}" type="parTrans" cxnId="{5D441458-39C1-4473-925A-7C36830909DA}">
      <dgm:prSet/>
      <dgm:spPr/>
      <dgm:t>
        <a:bodyPr/>
        <a:lstStyle/>
        <a:p>
          <a:pPr algn="ctr"/>
          <a:endParaRPr lang="es-AR"/>
        </a:p>
      </dgm:t>
    </dgm:pt>
    <dgm:pt modelId="{1468F6B4-AD3C-41D1-95A2-F49E05C3BE6B}" type="sibTrans" cxnId="{5D441458-39C1-4473-925A-7C36830909DA}">
      <dgm:prSet/>
      <dgm:spPr/>
      <dgm:t>
        <a:bodyPr/>
        <a:lstStyle/>
        <a:p>
          <a:pPr algn="ctr"/>
          <a:endParaRPr lang="es-AR"/>
        </a:p>
      </dgm:t>
    </dgm:pt>
    <dgm:pt modelId="{C04B18B2-9A4F-4CC2-9F3A-5440F2D47BC7}">
      <dgm:prSet custT="1"/>
      <dgm:spPr/>
      <dgm:t>
        <a:bodyPr/>
        <a:lstStyle/>
        <a:p>
          <a:pPr algn="ctr"/>
          <a:r>
            <a:rPr lang="es-AR" sz="800" b="1"/>
            <a:t>FUNCION INVESTIGADORA</a:t>
          </a:r>
        </a:p>
      </dgm:t>
    </dgm:pt>
    <dgm:pt modelId="{4198D7A3-308A-4457-8D99-2A874AA82F62}" type="parTrans" cxnId="{60B8C05F-9375-4420-8603-DE58AC3EEEE5}">
      <dgm:prSet/>
      <dgm:spPr/>
      <dgm:t>
        <a:bodyPr/>
        <a:lstStyle/>
        <a:p>
          <a:pPr algn="ctr"/>
          <a:endParaRPr lang="es-AR"/>
        </a:p>
      </dgm:t>
    </dgm:pt>
    <dgm:pt modelId="{73D9B77B-D2AB-4356-B8F4-06B09E142FF2}" type="sibTrans" cxnId="{60B8C05F-9375-4420-8603-DE58AC3EEEE5}">
      <dgm:prSet/>
      <dgm:spPr/>
      <dgm:t>
        <a:bodyPr/>
        <a:lstStyle/>
        <a:p>
          <a:pPr algn="ctr"/>
          <a:endParaRPr lang="es-AR"/>
        </a:p>
      </dgm:t>
    </dgm:pt>
    <dgm:pt modelId="{DE078C8E-295D-491F-9C77-19ED08CB7E0E}">
      <dgm:prSet custT="1"/>
      <dgm:spPr/>
      <dgm:t>
        <a:bodyPr/>
        <a:lstStyle/>
        <a:p>
          <a:pPr algn="ctr"/>
          <a:r>
            <a:rPr lang="es-AR" sz="800" b="1"/>
            <a:t>FUNCION GESTION</a:t>
          </a:r>
        </a:p>
      </dgm:t>
    </dgm:pt>
    <dgm:pt modelId="{B57273FC-4282-46BD-887D-3E17B1E13509}" type="parTrans" cxnId="{6B66D6E6-1DDF-44B4-8E05-D05CF9933045}">
      <dgm:prSet/>
      <dgm:spPr/>
      <dgm:t>
        <a:bodyPr/>
        <a:lstStyle/>
        <a:p>
          <a:pPr algn="ctr"/>
          <a:endParaRPr lang="es-AR"/>
        </a:p>
      </dgm:t>
    </dgm:pt>
    <dgm:pt modelId="{BDDC5811-1404-4F42-B4AD-F5A003A8A3DC}" type="sibTrans" cxnId="{6B66D6E6-1DDF-44B4-8E05-D05CF9933045}">
      <dgm:prSet/>
      <dgm:spPr/>
      <dgm:t>
        <a:bodyPr/>
        <a:lstStyle/>
        <a:p>
          <a:pPr algn="ctr"/>
          <a:endParaRPr lang="es-AR"/>
        </a:p>
      </dgm:t>
    </dgm:pt>
    <dgm:pt modelId="{E7F7F669-F114-4CCA-9966-7DE891FF95F5}" type="pres">
      <dgm:prSet presAssocID="{0739E4F0-2ECA-4EF3-BB0C-8FAE5543FB0F}" presName="cycle" presStyleCnt="0">
        <dgm:presLayoutVars>
          <dgm:chMax val="1"/>
          <dgm:dir/>
          <dgm:animLvl val="ctr"/>
          <dgm:resizeHandles val="exact"/>
        </dgm:presLayoutVars>
      </dgm:prSet>
      <dgm:spPr/>
      <dgm:t>
        <a:bodyPr/>
        <a:lstStyle/>
        <a:p>
          <a:endParaRPr lang="es-AR"/>
        </a:p>
      </dgm:t>
    </dgm:pt>
    <dgm:pt modelId="{43CB80AF-564C-47A5-AED8-75AD355BB37C}" type="pres">
      <dgm:prSet presAssocID="{DD28CDBE-E251-4133-948D-BB1E2B3241F2}" presName="centerShape" presStyleLbl="node0" presStyleIdx="0" presStyleCnt="1" custScaleX="114067"/>
      <dgm:spPr/>
      <dgm:t>
        <a:bodyPr/>
        <a:lstStyle/>
        <a:p>
          <a:endParaRPr lang="es-AR"/>
        </a:p>
      </dgm:t>
    </dgm:pt>
    <dgm:pt modelId="{F5CE6655-708D-47CE-A157-FA7E8B5EC979}" type="pres">
      <dgm:prSet presAssocID="{97CAB143-78F7-450D-92D6-C7EC8DEDC52A}" presName="parTrans" presStyleLbl="bgSibTrans2D1" presStyleIdx="0" presStyleCnt="4"/>
      <dgm:spPr/>
      <dgm:t>
        <a:bodyPr/>
        <a:lstStyle/>
        <a:p>
          <a:endParaRPr lang="es-AR"/>
        </a:p>
      </dgm:t>
    </dgm:pt>
    <dgm:pt modelId="{5454E911-FE8C-4C90-B1D3-8F91E22C60D9}" type="pres">
      <dgm:prSet presAssocID="{C493DEE5-4AFE-4F15-91A8-C03C42CEF366}" presName="node" presStyleLbl="node1" presStyleIdx="0" presStyleCnt="4">
        <dgm:presLayoutVars>
          <dgm:bulletEnabled val="1"/>
        </dgm:presLayoutVars>
      </dgm:prSet>
      <dgm:spPr/>
      <dgm:t>
        <a:bodyPr/>
        <a:lstStyle/>
        <a:p>
          <a:endParaRPr lang="es-AR"/>
        </a:p>
      </dgm:t>
    </dgm:pt>
    <dgm:pt modelId="{907DB78D-783E-4487-A824-3A0A4DC361C9}" type="pres">
      <dgm:prSet presAssocID="{1B606EE2-F354-4A8D-BD8B-BC7BC4A9F0EE}" presName="parTrans" presStyleLbl="bgSibTrans2D1" presStyleIdx="1" presStyleCnt="4"/>
      <dgm:spPr/>
      <dgm:t>
        <a:bodyPr/>
        <a:lstStyle/>
        <a:p>
          <a:endParaRPr lang="es-AR"/>
        </a:p>
      </dgm:t>
    </dgm:pt>
    <dgm:pt modelId="{21C5E260-C24A-4118-A461-766EAE6E2EE1}" type="pres">
      <dgm:prSet presAssocID="{EE2B49CB-BBEB-424B-AAA7-135857D7C569}" presName="node" presStyleLbl="node1" presStyleIdx="1" presStyleCnt="4" custRadScaleRad="100019" custRadScaleInc="11">
        <dgm:presLayoutVars>
          <dgm:bulletEnabled val="1"/>
        </dgm:presLayoutVars>
      </dgm:prSet>
      <dgm:spPr/>
      <dgm:t>
        <a:bodyPr/>
        <a:lstStyle/>
        <a:p>
          <a:endParaRPr lang="es-AR"/>
        </a:p>
      </dgm:t>
    </dgm:pt>
    <dgm:pt modelId="{3AAAA2E6-E38B-483A-8E30-9C275EA094CD}" type="pres">
      <dgm:prSet presAssocID="{4198D7A3-308A-4457-8D99-2A874AA82F62}" presName="parTrans" presStyleLbl="bgSibTrans2D1" presStyleIdx="2" presStyleCnt="4"/>
      <dgm:spPr/>
      <dgm:t>
        <a:bodyPr/>
        <a:lstStyle/>
        <a:p>
          <a:endParaRPr lang="es-AR"/>
        </a:p>
      </dgm:t>
    </dgm:pt>
    <dgm:pt modelId="{11774EF9-58A8-489E-99D5-3317D46A35F5}" type="pres">
      <dgm:prSet presAssocID="{C04B18B2-9A4F-4CC2-9F3A-5440F2D47BC7}" presName="node" presStyleLbl="node1" presStyleIdx="2" presStyleCnt="4">
        <dgm:presLayoutVars>
          <dgm:bulletEnabled val="1"/>
        </dgm:presLayoutVars>
      </dgm:prSet>
      <dgm:spPr/>
      <dgm:t>
        <a:bodyPr/>
        <a:lstStyle/>
        <a:p>
          <a:endParaRPr lang="es-AR"/>
        </a:p>
      </dgm:t>
    </dgm:pt>
    <dgm:pt modelId="{BCC847B4-0B09-4162-9AA5-44B5AB7F1B0C}" type="pres">
      <dgm:prSet presAssocID="{B57273FC-4282-46BD-887D-3E17B1E13509}" presName="parTrans" presStyleLbl="bgSibTrans2D1" presStyleIdx="3" presStyleCnt="4"/>
      <dgm:spPr/>
      <dgm:t>
        <a:bodyPr/>
        <a:lstStyle/>
        <a:p>
          <a:endParaRPr lang="es-AR"/>
        </a:p>
      </dgm:t>
    </dgm:pt>
    <dgm:pt modelId="{E3C5E176-FD64-40A7-9749-3DCE4578EE9E}" type="pres">
      <dgm:prSet presAssocID="{DE078C8E-295D-491F-9C77-19ED08CB7E0E}" presName="node" presStyleLbl="node1" presStyleIdx="3" presStyleCnt="4" custRadScaleRad="102694" custRadScaleInc="894">
        <dgm:presLayoutVars>
          <dgm:bulletEnabled val="1"/>
        </dgm:presLayoutVars>
      </dgm:prSet>
      <dgm:spPr/>
      <dgm:t>
        <a:bodyPr/>
        <a:lstStyle/>
        <a:p>
          <a:endParaRPr lang="es-AR"/>
        </a:p>
      </dgm:t>
    </dgm:pt>
  </dgm:ptLst>
  <dgm:cxnLst>
    <dgm:cxn modelId="{9EF84C03-EE8E-4065-B4F3-7A305926E270}" srcId="{0739E4F0-2ECA-4EF3-BB0C-8FAE5543FB0F}" destId="{9F6F7BE1-221F-46A0-8A97-4FFA0835E68A}" srcOrd="4" destOrd="0" parTransId="{589CC8E2-BE5A-4D75-BB10-98444684B79D}" sibTransId="{B27BC0FE-085A-49FB-9406-769E4EEAE516}"/>
    <dgm:cxn modelId="{5D441458-39C1-4473-925A-7C36830909DA}" srcId="{DD28CDBE-E251-4133-948D-BB1E2B3241F2}" destId="{EE2B49CB-BBEB-424B-AAA7-135857D7C569}" srcOrd="1" destOrd="0" parTransId="{1B606EE2-F354-4A8D-BD8B-BC7BC4A9F0EE}" sibTransId="{1468F6B4-AD3C-41D1-95A2-F49E05C3BE6B}"/>
    <dgm:cxn modelId="{167066E4-8FA6-443C-BF9B-781DC2A5C155}" type="presOf" srcId="{4198D7A3-308A-4457-8D99-2A874AA82F62}" destId="{3AAAA2E6-E38B-483A-8E30-9C275EA094CD}" srcOrd="0" destOrd="0" presId="urn:microsoft.com/office/officeart/2005/8/layout/radial4"/>
    <dgm:cxn modelId="{72D992C7-49BB-4156-9E44-14C9F802729A}" srcId="{0739E4F0-2ECA-4EF3-BB0C-8FAE5543FB0F}" destId="{A850F6AA-CD91-4260-B89E-02CF7F90E883}" srcOrd="6" destOrd="0" parTransId="{9C49D8F7-2545-433E-AC5A-6771124F462A}" sibTransId="{73A11686-CA9A-430F-A230-34E87CD4E77D}"/>
    <dgm:cxn modelId="{76AB6098-D2F2-4B6D-AB94-B3BB9B21EEEA}" srcId="{0739E4F0-2ECA-4EF3-BB0C-8FAE5543FB0F}" destId="{BEA13952-B38B-4CEE-8941-FCC2860F82FD}" srcOrd="3" destOrd="0" parTransId="{254250E3-B5B2-4BE1-B33F-AC103EFB46C5}" sibTransId="{3F84B5BE-A617-4A93-BCE2-6EEC7794A21E}"/>
    <dgm:cxn modelId="{68B93420-B547-4B7C-BF18-93757FBB09AC}" type="presOf" srcId="{EE2B49CB-BBEB-424B-AAA7-135857D7C569}" destId="{21C5E260-C24A-4118-A461-766EAE6E2EE1}" srcOrd="0" destOrd="0" presId="urn:microsoft.com/office/officeart/2005/8/layout/radial4"/>
    <dgm:cxn modelId="{6B66D6E6-1DDF-44B4-8E05-D05CF9933045}" srcId="{DD28CDBE-E251-4133-948D-BB1E2B3241F2}" destId="{DE078C8E-295D-491F-9C77-19ED08CB7E0E}" srcOrd="3" destOrd="0" parTransId="{B57273FC-4282-46BD-887D-3E17B1E13509}" sibTransId="{BDDC5811-1404-4F42-B4AD-F5A003A8A3DC}"/>
    <dgm:cxn modelId="{57F45449-B2FD-495A-B3BD-226F1F085B15}" srcId="{0739E4F0-2ECA-4EF3-BB0C-8FAE5543FB0F}" destId="{FEA01764-7D3B-478D-AEF6-D7F5264F5B82}" srcOrd="1" destOrd="0" parTransId="{B8D7218F-1A11-4F92-BD5C-82772A802A68}" sibTransId="{FBC0816E-FEC8-4ED3-88F3-A9305188985A}"/>
    <dgm:cxn modelId="{14088F30-A880-4972-9187-4E565A973AC7}" srcId="{0739E4F0-2ECA-4EF3-BB0C-8FAE5543FB0F}" destId="{DD28CDBE-E251-4133-948D-BB1E2B3241F2}" srcOrd="0" destOrd="0" parTransId="{9B52BA37-7272-4179-8CBF-B881CC4BBF28}" sibTransId="{4778E0BA-6B7D-4BF4-8B47-C997B337775D}"/>
    <dgm:cxn modelId="{60B8C05F-9375-4420-8603-DE58AC3EEEE5}" srcId="{DD28CDBE-E251-4133-948D-BB1E2B3241F2}" destId="{C04B18B2-9A4F-4CC2-9F3A-5440F2D47BC7}" srcOrd="2" destOrd="0" parTransId="{4198D7A3-308A-4457-8D99-2A874AA82F62}" sibTransId="{73D9B77B-D2AB-4356-B8F4-06B09E142FF2}"/>
    <dgm:cxn modelId="{2ACB8096-9FFD-4873-AD8A-68AE2D9A6F12}" type="presOf" srcId="{1B606EE2-F354-4A8D-BD8B-BC7BC4A9F0EE}" destId="{907DB78D-783E-4487-A824-3A0A4DC361C9}" srcOrd="0" destOrd="0" presId="urn:microsoft.com/office/officeart/2005/8/layout/radial4"/>
    <dgm:cxn modelId="{91AF2F40-5824-4D49-9BCA-D9CB8FF3AEA0}" type="presOf" srcId="{97CAB143-78F7-450D-92D6-C7EC8DEDC52A}" destId="{F5CE6655-708D-47CE-A157-FA7E8B5EC979}" srcOrd="0" destOrd="0" presId="urn:microsoft.com/office/officeart/2005/8/layout/radial4"/>
    <dgm:cxn modelId="{1DC8E5C0-DF23-4F41-8344-F3126FAF3ED5}" srcId="{DD28CDBE-E251-4133-948D-BB1E2B3241F2}" destId="{C493DEE5-4AFE-4F15-91A8-C03C42CEF366}" srcOrd="0" destOrd="0" parTransId="{97CAB143-78F7-450D-92D6-C7EC8DEDC52A}" sibTransId="{3A859356-4BBB-4072-BCC4-DC16B9BEBED2}"/>
    <dgm:cxn modelId="{80778D7E-B1BB-4938-B3C7-A3E2C74FCECD}" type="presOf" srcId="{B57273FC-4282-46BD-887D-3E17B1E13509}" destId="{BCC847B4-0B09-4162-9AA5-44B5AB7F1B0C}" srcOrd="0" destOrd="0" presId="urn:microsoft.com/office/officeart/2005/8/layout/radial4"/>
    <dgm:cxn modelId="{F6E07D4D-C078-48DD-AB31-4038D49C8D72}" type="presOf" srcId="{DD28CDBE-E251-4133-948D-BB1E2B3241F2}" destId="{43CB80AF-564C-47A5-AED8-75AD355BB37C}" srcOrd="0" destOrd="0" presId="urn:microsoft.com/office/officeart/2005/8/layout/radial4"/>
    <dgm:cxn modelId="{FBA11431-C3BD-47CD-9144-0D87C6FC71F2}" srcId="{0739E4F0-2ECA-4EF3-BB0C-8FAE5543FB0F}" destId="{D4D0936E-4FF7-4D5B-8D9A-91745E73809F}" srcOrd="5" destOrd="0" parTransId="{5D441F46-6067-4836-A0E0-0DF81808C783}" sibTransId="{7DF16E17-6202-4812-844D-A78EC67FB1C1}"/>
    <dgm:cxn modelId="{39817BC7-026F-403D-9C84-4DD6EF219395}" type="presOf" srcId="{C493DEE5-4AFE-4F15-91A8-C03C42CEF366}" destId="{5454E911-FE8C-4C90-B1D3-8F91E22C60D9}" srcOrd="0" destOrd="0" presId="urn:microsoft.com/office/officeart/2005/8/layout/radial4"/>
    <dgm:cxn modelId="{6AECD737-EF61-4CF2-A351-74F22D91C486}" type="presOf" srcId="{DE078C8E-295D-491F-9C77-19ED08CB7E0E}" destId="{E3C5E176-FD64-40A7-9749-3DCE4578EE9E}" srcOrd="0" destOrd="0" presId="urn:microsoft.com/office/officeart/2005/8/layout/radial4"/>
    <dgm:cxn modelId="{4302093F-8782-4580-98BC-B4A04A54A90F}" srcId="{0739E4F0-2ECA-4EF3-BB0C-8FAE5543FB0F}" destId="{F518720F-6047-452E-813C-0A9199F94B7B}" srcOrd="2" destOrd="0" parTransId="{BB7639DE-D270-4432-9A0E-130D28B9DE2B}" sibTransId="{53CCA671-0839-463E-B17D-6F1C6349E9D3}"/>
    <dgm:cxn modelId="{0489B0FF-7C95-40F5-88A3-0B824CF25C69}" type="presOf" srcId="{C04B18B2-9A4F-4CC2-9F3A-5440F2D47BC7}" destId="{11774EF9-58A8-489E-99D5-3317D46A35F5}" srcOrd="0" destOrd="0" presId="urn:microsoft.com/office/officeart/2005/8/layout/radial4"/>
    <dgm:cxn modelId="{162DC25F-3E28-491A-85FC-75A88AB453B6}" type="presOf" srcId="{0739E4F0-2ECA-4EF3-BB0C-8FAE5543FB0F}" destId="{E7F7F669-F114-4CCA-9966-7DE891FF95F5}" srcOrd="0" destOrd="0" presId="urn:microsoft.com/office/officeart/2005/8/layout/radial4"/>
    <dgm:cxn modelId="{17190F06-D41C-41DC-AAA0-AAEFFACAC825}" type="presParOf" srcId="{E7F7F669-F114-4CCA-9966-7DE891FF95F5}" destId="{43CB80AF-564C-47A5-AED8-75AD355BB37C}" srcOrd="0" destOrd="0" presId="urn:microsoft.com/office/officeart/2005/8/layout/radial4"/>
    <dgm:cxn modelId="{07940BB3-D465-402F-85F6-2AB265E4C410}" type="presParOf" srcId="{E7F7F669-F114-4CCA-9966-7DE891FF95F5}" destId="{F5CE6655-708D-47CE-A157-FA7E8B5EC979}" srcOrd="1" destOrd="0" presId="urn:microsoft.com/office/officeart/2005/8/layout/radial4"/>
    <dgm:cxn modelId="{05CA9302-15A0-4444-8D1F-AA2C62BED6F7}" type="presParOf" srcId="{E7F7F669-F114-4CCA-9966-7DE891FF95F5}" destId="{5454E911-FE8C-4C90-B1D3-8F91E22C60D9}" srcOrd="2" destOrd="0" presId="urn:microsoft.com/office/officeart/2005/8/layout/radial4"/>
    <dgm:cxn modelId="{623087BC-2B1F-4EC3-A233-504BF4F4A14E}" type="presParOf" srcId="{E7F7F669-F114-4CCA-9966-7DE891FF95F5}" destId="{907DB78D-783E-4487-A824-3A0A4DC361C9}" srcOrd="3" destOrd="0" presId="urn:microsoft.com/office/officeart/2005/8/layout/radial4"/>
    <dgm:cxn modelId="{DC20544A-0D75-4721-AC2D-2E87F4C23684}" type="presParOf" srcId="{E7F7F669-F114-4CCA-9966-7DE891FF95F5}" destId="{21C5E260-C24A-4118-A461-766EAE6E2EE1}" srcOrd="4" destOrd="0" presId="urn:microsoft.com/office/officeart/2005/8/layout/radial4"/>
    <dgm:cxn modelId="{BD70C131-F25A-4CCC-9B25-F4D63B0791F5}" type="presParOf" srcId="{E7F7F669-F114-4CCA-9966-7DE891FF95F5}" destId="{3AAAA2E6-E38B-483A-8E30-9C275EA094CD}" srcOrd="5" destOrd="0" presId="urn:microsoft.com/office/officeart/2005/8/layout/radial4"/>
    <dgm:cxn modelId="{A2CB1568-B330-4229-94B6-440578E5861B}" type="presParOf" srcId="{E7F7F669-F114-4CCA-9966-7DE891FF95F5}" destId="{11774EF9-58A8-489E-99D5-3317D46A35F5}" srcOrd="6" destOrd="0" presId="urn:microsoft.com/office/officeart/2005/8/layout/radial4"/>
    <dgm:cxn modelId="{E7428960-D462-47D2-A9CD-C731217C4902}" type="presParOf" srcId="{E7F7F669-F114-4CCA-9966-7DE891FF95F5}" destId="{BCC847B4-0B09-4162-9AA5-44B5AB7F1B0C}" srcOrd="7" destOrd="0" presId="urn:microsoft.com/office/officeart/2005/8/layout/radial4"/>
    <dgm:cxn modelId="{760C5EEC-AA23-401D-AC31-9EFE322CC22F}" type="presParOf" srcId="{E7F7F669-F114-4CCA-9966-7DE891FF95F5}" destId="{E3C5E176-FD64-40A7-9749-3DCE4578EE9E}" srcOrd="8"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A32F9-F0E7-44B8-AB82-589CD8A4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9</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UNIVERSIDAD NACIONAL DE LA MATANZA                                                        Primera Jornada de Investigación Interdepartamental</vt:lpstr>
    </vt:vector>
  </TitlesOfParts>
  <Company>Hewlett-Packard Company</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UNIVERSIDAD NACIONAL DE LA MATANZA                                                        Primera Jornada de Investigación Interdepartamental</dc:title>
  <dc:creator>lucia</dc:creator>
  <cp:lastModifiedBy>lucia</cp:lastModifiedBy>
  <cp:revision>46</cp:revision>
  <dcterms:created xsi:type="dcterms:W3CDTF">2014-06-10T21:23:00Z</dcterms:created>
  <dcterms:modified xsi:type="dcterms:W3CDTF">2014-07-31T00:51:00Z</dcterms:modified>
</cp:coreProperties>
</file>